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4A7" w:rsidRPr="00731CE0" w:rsidRDefault="001244A7" w:rsidP="001244A7">
      <w:pPr>
        <w:pStyle w:val="Heading1"/>
        <w:rPr>
          <w:b w:val="0"/>
          <w:sz w:val="20"/>
          <w:szCs w:val="20"/>
        </w:rPr>
      </w:pPr>
      <w:r w:rsidRPr="00731CE0">
        <w:rPr>
          <w:b w:val="0"/>
          <w:sz w:val="20"/>
          <w:szCs w:val="20"/>
        </w:rPr>
        <w:t>M</w:t>
      </w:r>
      <w:r w:rsidRPr="00731CE0">
        <w:rPr>
          <w:b w:val="0"/>
          <w:caps w:val="0"/>
          <w:sz w:val="20"/>
          <w:szCs w:val="20"/>
        </w:rPr>
        <w:t xml:space="preserve">emo </w:t>
      </w:r>
      <w:r w:rsidR="00FA696E">
        <w:rPr>
          <w:b w:val="0"/>
          <w:sz w:val="20"/>
          <w:szCs w:val="20"/>
        </w:rPr>
        <w:t>M</w:t>
      </w:r>
      <w:r w:rsidR="004029E5">
        <w:rPr>
          <w:b w:val="0"/>
          <w:sz w:val="20"/>
          <w:szCs w:val="20"/>
        </w:rPr>
        <w:t>5</w:t>
      </w:r>
      <w:r w:rsidR="0054199C">
        <w:rPr>
          <w:b w:val="0"/>
          <w:sz w:val="20"/>
          <w:szCs w:val="20"/>
        </w:rPr>
        <w:t>/16</w:t>
      </w:r>
    </w:p>
    <w:p w:rsidR="0054199C" w:rsidRPr="00DC4363" w:rsidRDefault="0054199C" w:rsidP="0054199C">
      <w:pPr>
        <w:spacing w:after="0"/>
        <w:jc w:val="center"/>
        <w:rPr>
          <w:rFonts w:cs="Arial"/>
          <w:b/>
          <w:sz w:val="20"/>
          <w:szCs w:val="20"/>
        </w:rPr>
      </w:pPr>
      <w:r w:rsidRPr="00DC4363">
        <w:rPr>
          <w:rFonts w:cs="Arial"/>
          <w:b/>
          <w:sz w:val="20"/>
          <w:szCs w:val="20"/>
        </w:rPr>
        <w:t>Changes to CWC Licensing Arrangements</w:t>
      </w:r>
    </w:p>
    <w:p w:rsidR="009E1232" w:rsidRPr="00DC4363" w:rsidRDefault="009E1232" w:rsidP="0054199C">
      <w:pPr>
        <w:spacing w:after="0"/>
        <w:jc w:val="center"/>
        <w:rPr>
          <w:rFonts w:cs="Arial"/>
          <w:b/>
          <w:sz w:val="20"/>
          <w:szCs w:val="20"/>
        </w:rPr>
      </w:pPr>
    </w:p>
    <w:p w:rsidR="009E1232" w:rsidRPr="00DC4363" w:rsidRDefault="009E1232" w:rsidP="009E1232">
      <w:pPr>
        <w:spacing w:after="0"/>
        <w:jc w:val="both"/>
        <w:rPr>
          <w:rFonts w:cs="Arial"/>
          <w:sz w:val="20"/>
          <w:szCs w:val="20"/>
        </w:rPr>
      </w:pPr>
      <w:r w:rsidRPr="00DC4363">
        <w:rPr>
          <w:rFonts w:cs="Arial"/>
          <w:sz w:val="20"/>
          <w:szCs w:val="20"/>
        </w:rPr>
        <w:t xml:space="preserve">Memo M7/15, asked departments to declare to the Safety Office any chemicals in their possession that were listed under Schedule 1 of the Chemical Weapons Convention (CWC), </w:t>
      </w:r>
      <w:hyperlink r:id="rId8" w:history="1">
        <w:r w:rsidRPr="00DC4363">
          <w:rPr>
            <w:rStyle w:val="Hyperlink"/>
            <w:rFonts w:cs="Arial"/>
            <w:sz w:val="20"/>
            <w:szCs w:val="20"/>
          </w:rPr>
          <w:t>https://www1.admin.ox.ac.uk/safety/memoranda/m715/</w:t>
        </w:r>
      </w:hyperlink>
    </w:p>
    <w:p w:rsidR="009E1232" w:rsidRPr="00DC4363" w:rsidRDefault="009E1232" w:rsidP="009E1232">
      <w:pPr>
        <w:pStyle w:val="NormalWeb"/>
        <w:spacing w:before="0" w:beforeAutospacing="0" w:after="0" w:afterAutospacing="0"/>
        <w:jc w:val="both"/>
        <w:rPr>
          <w:rFonts w:ascii="Arial" w:hAnsi="Arial" w:cs="Arial"/>
          <w:sz w:val="20"/>
          <w:szCs w:val="20"/>
        </w:rPr>
      </w:pPr>
    </w:p>
    <w:p w:rsidR="009E1232" w:rsidRDefault="009E1232" w:rsidP="009E1232">
      <w:pPr>
        <w:pStyle w:val="NormalWeb"/>
        <w:spacing w:before="0" w:beforeAutospacing="0" w:after="0" w:afterAutospacing="0"/>
        <w:jc w:val="both"/>
        <w:rPr>
          <w:rFonts w:ascii="Arial" w:hAnsi="Arial" w:cs="Arial"/>
          <w:sz w:val="20"/>
          <w:szCs w:val="20"/>
        </w:rPr>
      </w:pPr>
      <w:r w:rsidRPr="00DC4363">
        <w:rPr>
          <w:rFonts w:ascii="Arial" w:hAnsi="Arial" w:cs="Arial"/>
          <w:sz w:val="20"/>
          <w:szCs w:val="20"/>
        </w:rPr>
        <w:t xml:space="preserve">The chemicals specifically listed by their Chemical Abstracts Service (CAS) registry numbers under Schedule 1 are subject to strict licensing arrangements, which limit the amount that can be held under different licensing conditions. </w:t>
      </w:r>
    </w:p>
    <w:p w:rsidR="00DC4363" w:rsidRPr="00DC4363" w:rsidRDefault="00DC4363" w:rsidP="009E1232">
      <w:pPr>
        <w:pStyle w:val="NormalWeb"/>
        <w:spacing w:before="0" w:beforeAutospacing="0" w:after="0" w:afterAutospacing="0"/>
        <w:jc w:val="both"/>
        <w:rPr>
          <w:rFonts w:ascii="Arial" w:hAnsi="Arial" w:cs="Arial"/>
          <w:sz w:val="20"/>
          <w:szCs w:val="20"/>
        </w:rPr>
      </w:pPr>
    </w:p>
    <w:p w:rsidR="009E1232" w:rsidRPr="00DC4363" w:rsidRDefault="009E1232" w:rsidP="009E1232">
      <w:pPr>
        <w:pStyle w:val="NormalWeb"/>
        <w:spacing w:before="0" w:beforeAutospacing="0" w:after="0" w:afterAutospacing="0"/>
        <w:jc w:val="both"/>
        <w:rPr>
          <w:rFonts w:ascii="Arial" w:hAnsi="Arial" w:cs="Arial"/>
          <w:sz w:val="20"/>
          <w:szCs w:val="20"/>
        </w:rPr>
      </w:pPr>
      <w:r w:rsidRPr="00DC4363">
        <w:rPr>
          <w:rFonts w:ascii="Arial" w:hAnsi="Arial" w:cs="Arial"/>
          <w:sz w:val="20"/>
          <w:szCs w:val="20"/>
        </w:rPr>
        <w:t xml:space="preserve">The list of Schedule 1 chemicals may be seen in </w:t>
      </w:r>
      <w:hyperlink r:id="rId9" w:anchor="d.en.9504" w:history="1">
        <w:r w:rsidR="000554C3">
          <w:rPr>
            <w:rStyle w:val="Hyperlink"/>
            <w:rFonts w:ascii="Arial" w:hAnsi="Arial" w:cs="Arial"/>
            <w:sz w:val="20"/>
            <w:szCs w:val="20"/>
          </w:rPr>
          <w:t>A</w:t>
        </w:r>
        <w:r w:rsidRPr="00DC4363">
          <w:rPr>
            <w:rStyle w:val="Hyperlink"/>
            <w:rFonts w:ascii="Arial" w:hAnsi="Arial" w:cs="Arial"/>
            <w:sz w:val="20"/>
            <w:szCs w:val="20"/>
          </w:rPr>
          <w:t>ppendix 1 to University Policy Statement S5/04.</w:t>
        </w:r>
      </w:hyperlink>
      <w:r w:rsidRPr="00DC4363">
        <w:rPr>
          <w:rStyle w:val="Hyperlink"/>
          <w:rFonts w:ascii="Arial" w:hAnsi="Arial" w:cs="Arial"/>
          <w:sz w:val="20"/>
          <w:szCs w:val="20"/>
        </w:rPr>
        <w:t xml:space="preserve">  </w:t>
      </w:r>
      <w:r w:rsidRPr="00DC4363">
        <w:rPr>
          <w:rFonts w:ascii="Arial" w:hAnsi="Arial" w:cs="Arial"/>
          <w:sz w:val="20"/>
          <w:szCs w:val="20"/>
        </w:rPr>
        <w:t>Departments holding, using or producing Schedule 1 chemicals, or intending to purchase or acquire them, must be covered by the appropriate license. In the past where a license has been required it has been held centrally.</w:t>
      </w:r>
    </w:p>
    <w:p w:rsidR="009E1232" w:rsidRPr="00DC4363" w:rsidRDefault="009E1232" w:rsidP="009E1232">
      <w:pPr>
        <w:pStyle w:val="NormalWeb"/>
        <w:spacing w:before="0" w:beforeAutospacing="0" w:after="0" w:afterAutospacing="0"/>
        <w:jc w:val="both"/>
        <w:rPr>
          <w:rFonts w:ascii="Arial" w:hAnsi="Arial" w:cs="Arial"/>
          <w:sz w:val="20"/>
          <w:szCs w:val="20"/>
        </w:rPr>
      </w:pPr>
    </w:p>
    <w:p w:rsidR="009E1232" w:rsidRPr="00DC4363" w:rsidRDefault="009E1232" w:rsidP="009E1232">
      <w:pPr>
        <w:spacing w:after="0"/>
        <w:jc w:val="both"/>
        <w:rPr>
          <w:rFonts w:cs="Arial"/>
          <w:sz w:val="20"/>
          <w:szCs w:val="20"/>
        </w:rPr>
      </w:pPr>
      <w:r w:rsidRPr="00DC4363">
        <w:rPr>
          <w:rFonts w:cs="Arial"/>
          <w:sz w:val="20"/>
          <w:szCs w:val="20"/>
        </w:rPr>
        <w:t xml:space="preserve">The government department administering the CWC in the UK, the Department of Business, Energy and Industrial Strategy (BEIS), has recently written to the University regarding a new flexible approach towards the status of the CAS numbers, which will now lead to </w:t>
      </w:r>
      <w:r w:rsidRPr="00DC4363">
        <w:rPr>
          <w:rFonts w:cs="Arial"/>
          <w:b/>
          <w:sz w:val="20"/>
          <w:szCs w:val="20"/>
        </w:rPr>
        <w:t>more chemicals being considered licensable</w:t>
      </w:r>
      <w:r w:rsidRPr="00DC4363">
        <w:rPr>
          <w:rFonts w:cs="Arial"/>
          <w:sz w:val="20"/>
          <w:szCs w:val="20"/>
        </w:rPr>
        <w:t xml:space="preserve"> under the Chemical Weapons Act, 1996.</w:t>
      </w:r>
    </w:p>
    <w:p w:rsidR="00DC4363" w:rsidRDefault="00DC4363" w:rsidP="009E1232">
      <w:pPr>
        <w:pStyle w:val="ListParagraph"/>
        <w:autoSpaceDE w:val="0"/>
        <w:autoSpaceDN w:val="0"/>
        <w:adjustRightInd w:val="0"/>
        <w:ind w:left="0"/>
        <w:contextualSpacing/>
        <w:jc w:val="both"/>
        <w:rPr>
          <w:rFonts w:cs="Arial"/>
          <w:szCs w:val="20"/>
        </w:rPr>
      </w:pPr>
    </w:p>
    <w:p w:rsidR="009E1232" w:rsidRPr="00DC4363" w:rsidRDefault="009E1232" w:rsidP="009E1232">
      <w:pPr>
        <w:pStyle w:val="ListParagraph"/>
        <w:autoSpaceDE w:val="0"/>
        <w:autoSpaceDN w:val="0"/>
        <w:adjustRightInd w:val="0"/>
        <w:ind w:left="0"/>
        <w:contextualSpacing/>
        <w:jc w:val="both"/>
        <w:rPr>
          <w:rFonts w:cs="Arial"/>
          <w:szCs w:val="20"/>
        </w:rPr>
      </w:pPr>
      <w:r w:rsidRPr="00DC4363">
        <w:rPr>
          <w:rFonts w:cs="Arial"/>
          <w:szCs w:val="20"/>
        </w:rPr>
        <w:t xml:space="preserve">The new licensing regime will not now be limited only to those particular chemicals which fall within the CAS list in Schedule 1, but rather that the CAS numbers should be used only as aids to identify the types of chemicals that should be considered as falling within Schedule 1, and therefore subject to the licensing regime.  </w:t>
      </w:r>
    </w:p>
    <w:p w:rsidR="009E1232" w:rsidRPr="00DC4363" w:rsidRDefault="009E1232" w:rsidP="009E1232">
      <w:pPr>
        <w:pStyle w:val="ListParagraph"/>
        <w:autoSpaceDE w:val="0"/>
        <w:autoSpaceDN w:val="0"/>
        <w:adjustRightInd w:val="0"/>
        <w:ind w:left="0"/>
        <w:contextualSpacing/>
        <w:jc w:val="both"/>
        <w:rPr>
          <w:rFonts w:eastAsia="Calibri" w:cs="Arial"/>
          <w:szCs w:val="20"/>
          <w:lang w:eastAsia="en-US"/>
        </w:rPr>
      </w:pPr>
      <w:r w:rsidRPr="00DC4363">
        <w:rPr>
          <w:rFonts w:cs="Arial"/>
          <w:szCs w:val="20"/>
        </w:rPr>
        <w:t>The result is that</w:t>
      </w:r>
      <w:r w:rsidRPr="00DC4363">
        <w:rPr>
          <w:rFonts w:eastAsia="Calibri" w:cs="Arial"/>
          <w:szCs w:val="20"/>
          <w:lang w:eastAsia="en-US"/>
        </w:rPr>
        <w:t xml:space="preserve"> the molecular structure of a chemical will determine whether it is covered by Schedule 1, and therefore isotopically labelled analogues, stereoisomers (both optical and geometric), and corresponding salts are also licensable. Annex A has been provided by BEIS as guidance.</w:t>
      </w:r>
    </w:p>
    <w:p w:rsidR="009E1232" w:rsidRDefault="009E1232" w:rsidP="00DC4363">
      <w:pPr>
        <w:pStyle w:val="Footer"/>
        <w:spacing w:line="240" w:lineRule="auto"/>
        <w:jc w:val="both"/>
        <w:rPr>
          <w:rFonts w:eastAsia="Calibri" w:cs="Arial"/>
          <w:sz w:val="20"/>
          <w:szCs w:val="20"/>
        </w:rPr>
      </w:pPr>
      <w:r w:rsidRPr="00DC4363">
        <w:rPr>
          <w:rFonts w:eastAsia="Calibri" w:cs="Arial"/>
          <w:sz w:val="20"/>
          <w:szCs w:val="20"/>
        </w:rPr>
        <w:t xml:space="preserve">In order to </w:t>
      </w:r>
      <w:r w:rsidRPr="00DC4363">
        <w:rPr>
          <w:rFonts w:cs="Arial"/>
          <w:sz w:val="20"/>
          <w:szCs w:val="20"/>
        </w:rPr>
        <w:t>avoid over-burdensome and unnecessary licensing, to support medical research,</w:t>
      </w:r>
      <w:r w:rsidRPr="00DC4363">
        <w:rPr>
          <w:rFonts w:eastAsia="Calibri" w:cs="Arial"/>
          <w:sz w:val="20"/>
          <w:szCs w:val="20"/>
        </w:rPr>
        <w:t xml:space="preserve"> and to allow the legitimate transfer, possession and/or use of, for example, diagnostic kits or some cancer treatments which contain very small amounts of particular versions of Schedule 1 chemicals, </w:t>
      </w:r>
      <w:r w:rsidRPr="00DC4363">
        <w:rPr>
          <w:rFonts w:cs="Arial"/>
          <w:sz w:val="20"/>
          <w:szCs w:val="20"/>
        </w:rPr>
        <w:t xml:space="preserve">or contaminated items such environmental samples which might contain traces of Schedule 1 chemicals, </w:t>
      </w:r>
      <w:r w:rsidRPr="00DC4363">
        <w:rPr>
          <w:rFonts w:eastAsia="Calibri" w:cs="Arial"/>
          <w:sz w:val="20"/>
          <w:szCs w:val="20"/>
        </w:rPr>
        <w:t xml:space="preserve">some exemptions will be permitted.  </w:t>
      </w:r>
    </w:p>
    <w:p w:rsidR="00DC4363" w:rsidRDefault="00DC4363" w:rsidP="009E1232">
      <w:pPr>
        <w:spacing w:after="0"/>
        <w:jc w:val="both"/>
        <w:rPr>
          <w:rFonts w:cs="Arial"/>
          <w:sz w:val="20"/>
          <w:szCs w:val="20"/>
        </w:rPr>
      </w:pPr>
    </w:p>
    <w:p w:rsidR="009E1232" w:rsidRPr="00DC4363" w:rsidRDefault="009E1232" w:rsidP="009E1232">
      <w:pPr>
        <w:spacing w:after="0"/>
        <w:jc w:val="both"/>
        <w:rPr>
          <w:rFonts w:cs="Arial"/>
          <w:sz w:val="20"/>
          <w:szCs w:val="20"/>
        </w:rPr>
      </w:pPr>
      <w:r w:rsidRPr="00DC4363">
        <w:rPr>
          <w:rFonts w:cs="Arial"/>
          <w:sz w:val="20"/>
          <w:szCs w:val="20"/>
        </w:rPr>
        <w:t>The Safety Office is currently in discussion with BEIS to determine the exemptions that might apply and the type and number of licenses that may be required under the new regime.</w:t>
      </w:r>
    </w:p>
    <w:p w:rsidR="009E1232" w:rsidRPr="00DC4363" w:rsidRDefault="009E1232" w:rsidP="009E1232">
      <w:pPr>
        <w:spacing w:after="0"/>
        <w:jc w:val="both"/>
        <w:rPr>
          <w:rFonts w:cs="Arial"/>
          <w:sz w:val="20"/>
          <w:szCs w:val="20"/>
        </w:rPr>
      </w:pPr>
    </w:p>
    <w:p w:rsidR="009E1232" w:rsidRPr="00DC4363" w:rsidRDefault="009E1232" w:rsidP="009E1232">
      <w:pPr>
        <w:spacing w:after="0"/>
        <w:jc w:val="both"/>
        <w:rPr>
          <w:rFonts w:cs="Arial"/>
          <w:sz w:val="20"/>
          <w:szCs w:val="20"/>
        </w:rPr>
      </w:pPr>
      <w:r w:rsidRPr="00DC4363">
        <w:rPr>
          <w:rFonts w:cs="Arial"/>
          <w:sz w:val="20"/>
          <w:szCs w:val="20"/>
        </w:rPr>
        <w:t>Although there were only a few returns in response to Memo M7/15, and most were in relation to Schedule 1A06 (see annex A), it is anticipated that those departments may now have additional chemicals that fall within the extended scope of the Schedule 1 licensing, most probably the chemical salts.</w:t>
      </w:r>
    </w:p>
    <w:p w:rsidR="009E1232" w:rsidRPr="00DC4363" w:rsidRDefault="009E1232" w:rsidP="009E1232">
      <w:pPr>
        <w:spacing w:after="0"/>
        <w:jc w:val="both"/>
        <w:rPr>
          <w:rFonts w:cs="Arial"/>
          <w:sz w:val="20"/>
          <w:szCs w:val="20"/>
        </w:rPr>
      </w:pPr>
    </w:p>
    <w:p w:rsidR="00D41585" w:rsidRDefault="009E1232" w:rsidP="00D41585">
      <w:pPr>
        <w:spacing w:after="0"/>
        <w:jc w:val="both"/>
        <w:rPr>
          <w:rFonts w:cs="Arial"/>
          <w:sz w:val="20"/>
          <w:szCs w:val="20"/>
        </w:rPr>
      </w:pPr>
      <w:r w:rsidRPr="00DC4363">
        <w:rPr>
          <w:rFonts w:cs="Arial"/>
          <w:sz w:val="20"/>
          <w:szCs w:val="20"/>
        </w:rPr>
        <w:t xml:space="preserve">If the Safety Office is to continue to hold licenses centrally Heads of Department must ensure that all relevant principal investigators / research group supervisors confirm whether or not work is being undertaken with such licensable chemicals, and provide the information set out in the attached </w:t>
      </w:r>
      <w:r w:rsidRPr="00DC4363">
        <w:rPr>
          <w:rFonts w:cs="Arial"/>
          <w:b/>
          <w:sz w:val="20"/>
          <w:szCs w:val="20"/>
        </w:rPr>
        <w:t>CWC S1 declaration form.</w:t>
      </w:r>
      <w:r w:rsidRPr="00DC4363">
        <w:rPr>
          <w:rFonts w:cs="Arial"/>
          <w:sz w:val="20"/>
          <w:szCs w:val="20"/>
        </w:rPr>
        <w:t xml:space="preserve"> The return may be sent by Departmental Safety Officers or Administrators on their behalf.</w:t>
      </w:r>
      <w:r w:rsidR="00D41585">
        <w:rPr>
          <w:rFonts w:cs="Arial"/>
          <w:sz w:val="20"/>
          <w:szCs w:val="20"/>
        </w:rPr>
        <w:t xml:space="preserve">  </w:t>
      </w:r>
      <w:r w:rsidRPr="00DC4363">
        <w:rPr>
          <w:rFonts w:cs="Arial"/>
          <w:sz w:val="20"/>
          <w:szCs w:val="20"/>
        </w:rPr>
        <w:t>If reliable information is not forthcoming then it may be necessary for departments to obtain their own CWC S1 licenses going forward, and be subject to a stringent inspection regime.</w:t>
      </w:r>
      <w:r w:rsidR="00D41585">
        <w:rPr>
          <w:rFonts w:cs="Arial"/>
          <w:sz w:val="20"/>
          <w:szCs w:val="20"/>
        </w:rPr>
        <w:t xml:space="preserve"> </w:t>
      </w:r>
    </w:p>
    <w:p w:rsidR="00D41585" w:rsidRDefault="00D41585" w:rsidP="00D41585">
      <w:pPr>
        <w:spacing w:after="0"/>
        <w:jc w:val="both"/>
        <w:rPr>
          <w:rFonts w:cs="Arial"/>
          <w:sz w:val="20"/>
          <w:szCs w:val="20"/>
        </w:rPr>
      </w:pPr>
    </w:p>
    <w:p w:rsidR="00D41585" w:rsidRPr="00DC4363" w:rsidRDefault="00D41585" w:rsidP="00D41585">
      <w:pPr>
        <w:spacing w:after="0"/>
        <w:jc w:val="both"/>
        <w:rPr>
          <w:rFonts w:cs="Arial"/>
          <w:sz w:val="20"/>
          <w:szCs w:val="20"/>
        </w:rPr>
      </w:pPr>
      <w:r w:rsidRPr="00DC4363">
        <w:rPr>
          <w:rFonts w:cs="Arial"/>
          <w:sz w:val="20"/>
          <w:szCs w:val="20"/>
        </w:rPr>
        <w:t xml:space="preserve">This memo is being sent to all science and clinical departments. Even if these potentially licensable chemicals are not being used </w:t>
      </w:r>
      <w:r w:rsidRPr="00DC4363">
        <w:rPr>
          <w:rFonts w:cs="Arial"/>
          <w:b/>
          <w:sz w:val="20"/>
          <w:szCs w:val="20"/>
        </w:rPr>
        <w:t>a null return is required</w:t>
      </w:r>
      <w:r w:rsidRPr="00DC4363">
        <w:rPr>
          <w:rFonts w:cs="Arial"/>
          <w:sz w:val="20"/>
          <w:szCs w:val="20"/>
        </w:rPr>
        <w:t xml:space="preserve">. </w:t>
      </w:r>
    </w:p>
    <w:p w:rsidR="009E1232" w:rsidRDefault="00D41585" w:rsidP="00DC4363">
      <w:pPr>
        <w:spacing w:after="0"/>
        <w:jc w:val="both"/>
        <w:rPr>
          <w:rFonts w:cs="Arial"/>
          <w:sz w:val="20"/>
          <w:szCs w:val="20"/>
        </w:rPr>
      </w:pPr>
      <w:r w:rsidRPr="00DC4363">
        <w:rPr>
          <w:rFonts w:cs="Arial"/>
          <w:sz w:val="20"/>
          <w:szCs w:val="20"/>
        </w:rPr>
        <w:t xml:space="preserve">In such a case please strike through the declaration form, tick the relevant box on page 2, sign and date the form. </w:t>
      </w:r>
    </w:p>
    <w:p w:rsidR="009E1232" w:rsidRPr="00DC4363" w:rsidRDefault="009E1232" w:rsidP="00DC4363">
      <w:pPr>
        <w:pStyle w:val="Footer"/>
        <w:spacing w:line="240" w:lineRule="auto"/>
        <w:jc w:val="both"/>
        <w:rPr>
          <w:rFonts w:cs="Arial"/>
          <w:b/>
          <w:sz w:val="20"/>
          <w:szCs w:val="20"/>
        </w:rPr>
      </w:pPr>
      <w:r w:rsidRPr="00DC4363">
        <w:rPr>
          <w:rFonts w:eastAsia="Calibri" w:cs="Arial"/>
          <w:sz w:val="20"/>
          <w:szCs w:val="20"/>
        </w:rPr>
        <w:lastRenderedPageBreak/>
        <w:t xml:space="preserve">The </w:t>
      </w:r>
      <w:r w:rsidRPr="00DC4363">
        <w:rPr>
          <w:rFonts w:eastAsia="Calibri" w:cs="Arial"/>
          <w:b/>
          <w:sz w:val="20"/>
          <w:szCs w:val="20"/>
        </w:rPr>
        <w:t>changes to the licensing regime</w:t>
      </w:r>
      <w:r w:rsidRPr="00DC4363">
        <w:rPr>
          <w:rFonts w:eastAsia="Calibri" w:cs="Arial"/>
          <w:sz w:val="20"/>
          <w:szCs w:val="20"/>
        </w:rPr>
        <w:t xml:space="preserve"> </w:t>
      </w:r>
      <w:r w:rsidRPr="00DC4363">
        <w:rPr>
          <w:rFonts w:cs="Arial"/>
          <w:b/>
          <w:sz w:val="20"/>
          <w:szCs w:val="20"/>
        </w:rPr>
        <w:t xml:space="preserve">take effect from 2017. </w:t>
      </w:r>
      <w:r w:rsidRPr="00DC4363">
        <w:rPr>
          <w:rFonts w:cs="Arial"/>
          <w:sz w:val="20"/>
          <w:szCs w:val="20"/>
        </w:rPr>
        <w:t>BEIS are allowing the University additional time to collate this information but returns are time critical and a prompt response is required. A return is required by Monday 23 January</w:t>
      </w:r>
      <w:r w:rsidR="000554C3">
        <w:rPr>
          <w:rFonts w:cs="Arial"/>
          <w:sz w:val="20"/>
          <w:szCs w:val="20"/>
        </w:rPr>
        <w:t xml:space="preserve"> 2017</w:t>
      </w:r>
      <w:r w:rsidRPr="00DC4363">
        <w:rPr>
          <w:rFonts w:cs="Arial"/>
          <w:sz w:val="20"/>
          <w:szCs w:val="20"/>
        </w:rPr>
        <w:t xml:space="preserve">, </w:t>
      </w:r>
      <w:r w:rsidRPr="00DC4363">
        <w:rPr>
          <w:rFonts w:cs="Arial"/>
          <w:b/>
          <w:sz w:val="20"/>
          <w:szCs w:val="20"/>
        </w:rPr>
        <w:t>at the latest.</w:t>
      </w:r>
    </w:p>
    <w:p w:rsidR="009E1232" w:rsidRPr="00DC4363" w:rsidRDefault="009E1232" w:rsidP="009E1232">
      <w:pPr>
        <w:pStyle w:val="Footer"/>
        <w:jc w:val="both"/>
        <w:rPr>
          <w:rFonts w:cs="Arial"/>
          <w:sz w:val="20"/>
          <w:szCs w:val="20"/>
        </w:rPr>
      </w:pPr>
      <w:r w:rsidRPr="00DC4363">
        <w:rPr>
          <w:rFonts w:cs="Arial"/>
          <w:sz w:val="20"/>
          <w:szCs w:val="20"/>
        </w:rPr>
        <w:t>Apologies for the tight turnaround.</w:t>
      </w:r>
    </w:p>
    <w:p w:rsidR="009E1232" w:rsidRPr="00DC4363" w:rsidRDefault="009E1232" w:rsidP="009E1232">
      <w:pPr>
        <w:spacing w:after="0"/>
        <w:jc w:val="both"/>
        <w:rPr>
          <w:rFonts w:cs="Arial"/>
          <w:sz w:val="20"/>
          <w:szCs w:val="20"/>
        </w:rPr>
      </w:pPr>
    </w:p>
    <w:p w:rsidR="009E1232" w:rsidRPr="00DC4363" w:rsidRDefault="009E1232" w:rsidP="009E1232">
      <w:pPr>
        <w:spacing w:after="0"/>
        <w:jc w:val="both"/>
        <w:rPr>
          <w:rFonts w:cs="Arial"/>
          <w:sz w:val="20"/>
          <w:szCs w:val="20"/>
        </w:rPr>
      </w:pPr>
      <w:r w:rsidRPr="00DC4363">
        <w:rPr>
          <w:rFonts w:cs="Arial"/>
          <w:sz w:val="20"/>
          <w:szCs w:val="20"/>
        </w:rPr>
        <w:t xml:space="preserve">Departments should use the attached form, which can be provided to departments electronically on request (email: julie.black@safety.ox.ac.uk). </w:t>
      </w:r>
    </w:p>
    <w:p w:rsidR="009E1232" w:rsidRPr="00DC4363" w:rsidRDefault="009E1232" w:rsidP="00AD310E">
      <w:pPr>
        <w:spacing w:after="0"/>
        <w:jc w:val="both"/>
        <w:rPr>
          <w:rFonts w:cs="Arial"/>
          <w:sz w:val="20"/>
          <w:szCs w:val="20"/>
        </w:rPr>
      </w:pPr>
    </w:p>
    <w:p w:rsidR="00AD310E" w:rsidRPr="00DC4363" w:rsidRDefault="00AD310E" w:rsidP="00AD310E">
      <w:pPr>
        <w:spacing w:after="0"/>
        <w:jc w:val="both"/>
        <w:rPr>
          <w:rFonts w:cs="Arial"/>
          <w:sz w:val="20"/>
          <w:szCs w:val="20"/>
        </w:rPr>
      </w:pPr>
      <w:r w:rsidRPr="00DC4363">
        <w:rPr>
          <w:rFonts w:cs="Arial"/>
          <w:sz w:val="20"/>
          <w:szCs w:val="20"/>
        </w:rPr>
        <w:t>19 December 2016</w:t>
      </w:r>
      <w:r w:rsidRPr="00DC4363">
        <w:rPr>
          <w:rFonts w:cs="Arial"/>
          <w:sz w:val="20"/>
          <w:szCs w:val="20"/>
        </w:rPr>
        <w:tab/>
      </w:r>
      <w:r w:rsidRPr="00DC4363">
        <w:rPr>
          <w:rFonts w:cs="Arial"/>
          <w:sz w:val="20"/>
          <w:szCs w:val="20"/>
        </w:rPr>
        <w:tab/>
        <w:t>Julie Black</w:t>
      </w:r>
    </w:p>
    <w:p w:rsidR="00AD310E" w:rsidRPr="00DC4363" w:rsidRDefault="00AD310E" w:rsidP="00AD310E">
      <w:pPr>
        <w:jc w:val="both"/>
        <w:rPr>
          <w:rFonts w:cs="Arial"/>
          <w:sz w:val="20"/>
          <w:szCs w:val="20"/>
        </w:rPr>
      </w:pPr>
    </w:p>
    <w:p w:rsidR="00B7251F" w:rsidRPr="00DC4363" w:rsidRDefault="00B7251F" w:rsidP="00B7251F">
      <w:pPr>
        <w:jc w:val="both"/>
        <w:rPr>
          <w:rFonts w:eastAsia="Calibri" w:cs="Arial"/>
          <w:b/>
          <w:sz w:val="20"/>
          <w:szCs w:val="20"/>
        </w:rPr>
      </w:pPr>
      <w:r w:rsidRPr="00DC4363">
        <w:rPr>
          <w:rFonts w:eastAsia="Calibri" w:cs="Arial"/>
          <w:sz w:val="20"/>
          <w:szCs w:val="20"/>
        </w:rPr>
        <w:t>CIRC:  C, S, Heads, DSOs1, DSOs2, Admins, List V</w:t>
      </w:r>
    </w:p>
    <w:p w:rsidR="0054199C" w:rsidRPr="00DC4363" w:rsidRDefault="0054199C">
      <w:pPr>
        <w:rPr>
          <w:rFonts w:cs="Arial"/>
          <w:sz w:val="20"/>
          <w:szCs w:val="20"/>
        </w:rPr>
      </w:pPr>
    </w:p>
    <w:p w:rsidR="009E1232" w:rsidRDefault="009E1232">
      <w:pPr>
        <w:rPr>
          <w:rFonts w:cs="Arial"/>
          <w:sz w:val="20"/>
          <w:szCs w:val="20"/>
        </w:rPr>
      </w:pPr>
    </w:p>
    <w:p w:rsidR="00515349" w:rsidRDefault="00515349">
      <w:pPr>
        <w:rPr>
          <w:rFonts w:cs="Arial"/>
          <w:sz w:val="20"/>
          <w:szCs w:val="20"/>
        </w:rPr>
      </w:pPr>
    </w:p>
    <w:p w:rsidR="00515349" w:rsidRDefault="00515349">
      <w:pPr>
        <w:rPr>
          <w:rFonts w:cs="Arial"/>
          <w:sz w:val="20"/>
          <w:szCs w:val="20"/>
        </w:rPr>
      </w:pPr>
    </w:p>
    <w:p w:rsidR="00515349" w:rsidRDefault="00515349">
      <w:pPr>
        <w:rPr>
          <w:rFonts w:cs="Arial"/>
          <w:sz w:val="20"/>
          <w:szCs w:val="20"/>
        </w:rPr>
      </w:pPr>
    </w:p>
    <w:p w:rsidR="00515349" w:rsidRDefault="00515349" w:rsidP="00515349">
      <w:pPr>
        <w:jc w:val="both"/>
        <w:rPr>
          <w:rFonts w:eastAsia="Calibri" w:cs="Arial"/>
          <w:b/>
          <w:szCs w:val="20"/>
        </w:rPr>
      </w:pPr>
    </w:p>
    <w:p w:rsidR="00515349" w:rsidRDefault="00515349" w:rsidP="00515349">
      <w:pPr>
        <w:jc w:val="both"/>
        <w:rPr>
          <w:rFonts w:eastAsia="Calibri" w:cs="Arial"/>
          <w:b/>
          <w:szCs w:val="20"/>
        </w:rPr>
      </w:pPr>
    </w:p>
    <w:p w:rsidR="00515349" w:rsidRDefault="00515349" w:rsidP="00515349">
      <w:pPr>
        <w:jc w:val="both"/>
        <w:rPr>
          <w:rFonts w:eastAsia="Calibri" w:cs="Arial"/>
          <w:b/>
          <w:szCs w:val="20"/>
        </w:rPr>
      </w:pPr>
    </w:p>
    <w:p w:rsidR="00515349" w:rsidRDefault="00515349" w:rsidP="00515349">
      <w:pPr>
        <w:jc w:val="both"/>
        <w:rPr>
          <w:rFonts w:eastAsia="Calibri" w:cs="Arial"/>
          <w:b/>
          <w:szCs w:val="20"/>
        </w:rPr>
      </w:pPr>
    </w:p>
    <w:p w:rsidR="00515349" w:rsidRDefault="00515349" w:rsidP="00515349">
      <w:pPr>
        <w:jc w:val="both"/>
        <w:rPr>
          <w:rFonts w:eastAsia="Calibri" w:cs="Arial"/>
          <w:b/>
          <w:szCs w:val="20"/>
        </w:rPr>
      </w:pPr>
    </w:p>
    <w:p w:rsidR="00515349" w:rsidRDefault="00515349" w:rsidP="00515349">
      <w:pPr>
        <w:jc w:val="both"/>
        <w:rPr>
          <w:rFonts w:eastAsia="Calibri" w:cs="Arial"/>
          <w:b/>
          <w:szCs w:val="20"/>
        </w:rPr>
      </w:pPr>
    </w:p>
    <w:p w:rsidR="00515349" w:rsidRDefault="00515349" w:rsidP="00515349">
      <w:pPr>
        <w:jc w:val="both"/>
        <w:rPr>
          <w:rFonts w:eastAsia="Calibri" w:cs="Arial"/>
          <w:b/>
          <w:szCs w:val="20"/>
        </w:rPr>
      </w:pPr>
    </w:p>
    <w:p w:rsidR="00515349" w:rsidRDefault="00515349" w:rsidP="00515349">
      <w:pPr>
        <w:jc w:val="both"/>
        <w:rPr>
          <w:rFonts w:eastAsia="Calibri" w:cs="Arial"/>
          <w:b/>
          <w:szCs w:val="20"/>
        </w:rPr>
      </w:pPr>
    </w:p>
    <w:p w:rsidR="00515349" w:rsidRDefault="00515349" w:rsidP="00515349">
      <w:pPr>
        <w:jc w:val="both"/>
        <w:rPr>
          <w:rFonts w:eastAsia="Calibri" w:cs="Arial"/>
          <w:b/>
          <w:szCs w:val="20"/>
        </w:rPr>
      </w:pPr>
    </w:p>
    <w:p w:rsidR="00515349" w:rsidRDefault="00515349" w:rsidP="00515349">
      <w:pPr>
        <w:jc w:val="both"/>
        <w:rPr>
          <w:rFonts w:eastAsia="Calibri" w:cs="Arial"/>
          <w:b/>
          <w:szCs w:val="20"/>
        </w:rPr>
      </w:pPr>
    </w:p>
    <w:p w:rsidR="00515349" w:rsidRDefault="00515349" w:rsidP="00515349">
      <w:pPr>
        <w:jc w:val="both"/>
        <w:rPr>
          <w:rFonts w:eastAsia="Calibri" w:cs="Arial"/>
          <w:b/>
          <w:szCs w:val="20"/>
        </w:rPr>
      </w:pPr>
    </w:p>
    <w:p w:rsidR="00515349" w:rsidRDefault="00515349" w:rsidP="00515349">
      <w:pPr>
        <w:jc w:val="both"/>
        <w:rPr>
          <w:rFonts w:eastAsia="Calibri" w:cs="Arial"/>
          <w:b/>
          <w:szCs w:val="20"/>
        </w:rPr>
      </w:pPr>
    </w:p>
    <w:p w:rsidR="00515349" w:rsidRDefault="00515349" w:rsidP="00515349">
      <w:pPr>
        <w:jc w:val="both"/>
        <w:rPr>
          <w:rFonts w:eastAsia="Calibri" w:cs="Arial"/>
          <w:b/>
          <w:szCs w:val="20"/>
        </w:rPr>
      </w:pPr>
    </w:p>
    <w:p w:rsidR="00515349" w:rsidRDefault="00515349" w:rsidP="00515349">
      <w:pPr>
        <w:jc w:val="both"/>
        <w:rPr>
          <w:rFonts w:eastAsia="Calibri" w:cs="Arial"/>
          <w:b/>
          <w:szCs w:val="20"/>
        </w:rPr>
      </w:pPr>
    </w:p>
    <w:p w:rsidR="00515349" w:rsidRDefault="00515349" w:rsidP="00515349">
      <w:pPr>
        <w:jc w:val="both"/>
        <w:rPr>
          <w:rFonts w:eastAsia="Calibri" w:cs="Arial"/>
          <w:b/>
          <w:szCs w:val="20"/>
        </w:rPr>
      </w:pPr>
    </w:p>
    <w:p w:rsidR="00515349" w:rsidRDefault="00515349" w:rsidP="00515349">
      <w:pPr>
        <w:jc w:val="both"/>
        <w:rPr>
          <w:rFonts w:eastAsia="Calibri" w:cs="Arial"/>
          <w:b/>
          <w:szCs w:val="20"/>
        </w:rPr>
      </w:pPr>
    </w:p>
    <w:p w:rsidR="00515349" w:rsidRPr="0007703F" w:rsidRDefault="00515349" w:rsidP="00515349">
      <w:pPr>
        <w:jc w:val="both"/>
        <w:rPr>
          <w:rFonts w:eastAsia="Calibri" w:cs="Arial"/>
          <w:b/>
          <w:szCs w:val="20"/>
        </w:rPr>
      </w:pPr>
      <w:r w:rsidRPr="0007703F">
        <w:rPr>
          <w:rFonts w:eastAsia="Calibri" w:cs="Arial"/>
          <w:b/>
          <w:szCs w:val="20"/>
        </w:rPr>
        <w:lastRenderedPageBreak/>
        <w:t>CWC Schedule 1 Chemicals and CAS Numbers</w:t>
      </w:r>
      <w:r>
        <w:rPr>
          <w:rFonts w:eastAsia="Calibri" w:cs="Arial"/>
          <w:b/>
          <w:szCs w:val="20"/>
        </w:rPr>
        <w:tab/>
      </w:r>
      <w:r>
        <w:rPr>
          <w:rFonts w:eastAsia="Calibri" w:cs="Arial"/>
          <w:b/>
          <w:szCs w:val="20"/>
        </w:rPr>
        <w:tab/>
      </w:r>
      <w:r>
        <w:rPr>
          <w:rFonts w:eastAsia="Calibri" w:cs="Arial"/>
          <w:b/>
          <w:szCs w:val="20"/>
        </w:rPr>
        <w:tab/>
      </w:r>
      <w:r>
        <w:rPr>
          <w:rFonts w:eastAsia="Calibri" w:cs="Arial"/>
          <w:b/>
          <w:szCs w:val="20"/>
        </w:rPr>
        <w:tab/>
      </w:r>
      <w:r>
        <w:rPr>
          <w:rFonts w:eastAsia="Calibri" w:cs="Arial"/>
          <w:b/>
          <w:szCs w:val="20"/>
        </w:rPr>
        <w:tab/>
      </w:r>
      <w:r>
        <w:rPr>
          <w:rFonts w:eastAsia="Calibri" w:cs="Arial"/>
          <w:b/>
          <w:szCs w:val="20"/>
        </w:rPr>
        <w:tab/>
        <w:t>ANNEX A</w:t>
      </w:r>
    </w:p>
    <w:p w:rsidR="00515349" w:rsidRPr="005F02C8" w:rsidRDefault="00515349" w:rsidP="00515349">
      <w:pPr>
        <w:jc w:val="both"/>
        <w:rPr>
          <w:rFonts w:eastAsia="Calibri" w:cs="Arial"/>
          <w:b/>
          <w:szCs w:val="20"/>
          <w:u w:val="single"/>
        </w:rPr>
      </w:pPr>
    </w:p>
    <w:p w:rsidR="00515349" w:rsidRDefault="00515349" w:rsidP="00515349">
      <w:pPr>
        <w:jc w:val="both"/>
        <w:rPr>
          <w:rFonts w:eastAsia="Calibri" w:cs="Arial"/>
          <w:szCs w:val="20"/>
        </w:rPr>
      </w:pPr>
      <w:r w:rsidRPr="005F02C8">
        <w:rPr>
          <w:rFonts w:eastAsia="Calibri" w:cs="Arial"/>
          <w:szCs w:val="20"/>
        </w:rPr>
        <w:t>The number of additional chemicals which would require a Schedule 1 licence</w:t>
      </w:r>
      <w:r>
        <w:rPr>
          <w:rFonts w:eastAsia="Calibri" w:cs="Arial"/>
          <w:szCs w:val="20"/>
        </w:rPr>
        <w:t xml:space="preserve"> under the new regime</w:t>
      </w:r>
      <w:r w:rsidRPr="005F02C8">
        <w:rPr>
          <w:rFonts w:eastAsia="Calibri" w:cs="Arial"/>
          <w:szCs w:val="20"/>
        </w:rPr>
        <w:t xml:space="preserve"> is too large to be provided in a comprehensive list.  </w:t>
      </w:r>
    </w:p>
    <w:p w:rsidR="00515349" w:rsidRPr="005F02C8" w:rsidRDefault="00515349" w:rsidP="00515349">
      <w:pPr>
        <w:jc w:val="both"/>
        <w:rPr>
          <w:rFonts w:eastAsia="Calibri" w:cs="Arial"/>
          <w:szCs w:val="20"/>
        </w:rPr>
      </w:pPr>
      <w:r w:rsidRPr="005F02C8">
        <w:rPr>
          <w:rFonts w:eastAsia="Calibri" w:cs="Arial"/>
          <w:szCs w:val="20"/>
        </w:rPr>
        <w:t>However, the additional chemicals fall into one of three distinct groups which can be described generically:</w:t>
      </w:r>
    </w:p>
    <w:p w:rsidR="00515349" w:rsidRPr="005F02C8" w:rsidRDefault="00515349" w:rsidP="00515349">
      <w:pPr>
        <w:numPr>
          <w:ilvl w:val="0"/>
          <w:numId w:val="5"/>
        </w:numPr>
        <w:tabs>
          <w:tab w:val="clear" w:pos="567"/>
          <w:tab w:val="clear" w:pos="1134"/>
          <w:tab w:val="clear" w:pos="1701"/>
          <w:tab w:val="clear" w:pos="5670"/>
          <w:tab w:val="clear" w:pos="9356"/>
        </w:tabs>
        <w:spacing w:after="0"/>
        <w:contextualSpacing/>
        <w:jc w:val="both"/>
        <w:rPr>
          <w:rFonts w:eastAsia="Calibri" w:cs="Arial"/>
          <w:szCs w:val="20"/>
        </w:rPr>
      </w:pPr>
      <w:r w:rsidRPr="005F02C8">
        <w:rPr>
          <w:rFonts w:eastAsia="Calibri" w:cs="Arial"/>
          <w:szCs w:val="20"/>
        </w:rPr>
        <w:t xml:space="preserve">isotopically labelled analogues, </w:t>
      </w:r>
    </w:p>
    <w:p w:rsidR="00515349" w:rsidRPr="005F02C8" w:rsidRDefault="00515349" w:rsidP="00515349">
      <w:pPr>
        <w:numPr>
          <w:ilvl w:val="0"/>
          <w:numId w:val="5"/>
        </w:numPr>
        <w:tabs>
          <w:tab w:val="clear" w:pos="567"/>
          <w:tab w:val="clear" w:pos="1134"/>
          <w:tab w:val="clear" w:pos="1701"/>
          <w:tab w:val="clear" w:pos="5670"/>
          <w:tab w:val="clear" w:pos="9356"/>
        </w:tabs>
        <w:spacing w:after="0"/>
        <w:contextualSpacing/>
        <w:jc w:val="both"/>
        <w:rPr>
          <w:rFonts w:eastAsia="Calibri" w:cs="Arial"/>
          <w:szCs w:val="20"/>
        </w:rPr>
      </w:pPr>
      <w:r w:rsidRPr="005F02C8">
        <w:rPr>
          <w:rFonts w:eastAsia="Calibri" w:cs="Arial"/>
          <w:szCs w:val="20"/>
        </w:rPr>
        <w:t>corresponding salts,</w:t>
      </w:r>
    </w:p>
    <w:p w:rsidR="00515349" w:rsidRDefault="00515349" w:rsidP="00515349">
      <w:pPr>
        <w:numPr>
          <w:ilvl w:val="0"/>
          <w:numId w:val="5"/>
        </w:numPr>
        <w:tabs>
          <w:tab w:val="clear" w:pos="567"/>
          <w:tab w:val="clear" w:pos="1134"/>
          <w:tab w:val="clear" w:pos="1701"/>
          <w:tab w:val="clear" w:pos="5670"/>
          <w:tab w:val="clear" w:pos="9356"/>
        </w:tabs>
        <w:spacing w:after="0"/>
        <w:contextualSpacing/>
        <w:jc w:val="both"/>
        <w:rPr>
          <w:rFonts w:eastAsia="Calibri" w:cs="Arial"/>
          <w:szCs w:val="20"/>
        </w:rPr>
      </w:pPr>
      <w:r w:rsidRPr="005F02C8">
        <w:rPr>
          <w:rFonts w:eastAsia="Calibri" w:cs="Arial"/>
          <w:szCs w:val="20"/>
        </w:rPr>
        <w:t>stereoisomers.</w:t>
      </w:r>
    </w:p>
    <w:p w:rsidR="00515349" w:rsidRPr="005F02C8" w:rsidRDefault="00515349" w:rsidP="00515349">
      <w:pPr>
        <w:contextualSpacing/>
        <w:jc w:val="both"/>
        <w:rPr>
          <w:rFonts w:eastAsia="Calibri" w:cs="Arial"/>
          <w:szCs w:val="20"/>
        </w:rPr>
      </w:pPr>
    </w:p>
    <w:p w:rsidR="00515349" w:rsidRDefault="00515349" w:rsidP="00515349">
      <w:pPr>
        <w:jc w:val="both"/>
        <w:rPr>
          <w:rFonts w:eastAsia="Calibri" w:cs="Arial"/>
          <w:szCs w:val="20"/>
        </w:rPr>
      </w:pPr>
      <w:r w:rsidRPr="005F02C8">
        <w:rPr>
          <w:rFonts w:eastAsia="Calibri" w:cs="Arial"/>
          <w:szCs w:val="20"/>
        </w:rPr>
        <w:t xml:space="preserve">The summary table below outlines which additional groups of chemicals </w:t>
      </w:r>
      <w:r>
        <w:rPr>
          <w:rFonts w:eastAsia="Calibri" w:cs="Arial"/>
          <w:szCs w:val="20"/>
        </w:rPr>
        <w:t>which are to</w:t>
      </w:r>
      <w:r w:rsidRPr="005F02C8">
        <w:rPr>
          <w:rFonts w:eastAsia="Calibri" w:cs="Arial"/>
          <w:szCs w:val="20"/>
        </w:rPr>
        <w:t xml:space="preserve"> be added to each section under Schedule 1:</w:t>
      </w:r>
    </w:p>
    <w:p w:rsidR="00515349" w:rsidRPr="005F02C8" w:rsidRDefault="00515349" w:rsidP="00515349">
      <w:pPr>
        <w:jc w:val="both"/>
        <w:rPr>
          <w:rFonts w:eastAsia="Calibri"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2598"/>
        <w:gridCol w:w="2612"/>
        <w:gridCol w:w="2611"/>
      </w:tblGrid>
      <w:tr w:rsidR="00515349" w:rsidRPr="00162991" w:rsidTr="00254CA9">
        <w:tc>
          <w:tcPr>
            <w:tcW w:w="1101" w:type="dxa"/>
            <w:shd w:val="clear" w:color="auto" w:fill="auto"/>
            <w:vAlign w:val="center"/>
          </w:tcPr>
          <w:p w:rsidR="00515349" w:rsidRPr="00162991" w:rsidRDefault="00515349" w:rsidP="00254CA9">
            <w:pPr>
              <w:jc w:val="both"/>
              <w:rPr>
                <w:rFonts w:eastAsia="Calibri" w:cs="Arial"/>
                <w:b/>
                <w:szCs w:val="20"/>
              </w:rPr>
            </w:pPr>
            <w:r w:rsidRPr="00162991">
              <w:rPr>
                <w:rFonts w:eastAsia="Calibri" w:cs="Arial"/>
                <w:b/>
                <w:szCs w:val="20"/>
              </w:rPr>
              <w:t>Schedule</w:t>
            </w:r>
          </w:p>
        </w:tc>
        <w:tc>
          <w:tcPr>
            <w:tcW w:w="2646" w:type="dxa"/>
            <w:shd w:val="clear" w:color="auto" w:fill="auto"/>
            <w:vAlign w:val="center"/>
          </w:tcPr>
          <w:p w:rsidR="00515349" w:rsidRPr="00162991" w:rsidRDefault="00515349" w:rsidP="00254CA9">
            <w:pPr>
              <w:jc w:val="both"/>
              <w:rPr>
                <w:rFonts w:eastAsia="Calibri" w:cs="Arial"/>
                <w:b/>
                <w:szCs w:val="20"/>
              </w:rPr>
            </w:pPr>
            <w:r w:rsidRPr="00162991">
              <w:rPr>
                <w:rFonts w:eastAsia="Calibri" w:cs="Arial"/>
                <w:b/>
                <w:szCs w:val="20"/>
              </w:rPr>
              <w:t>Isotopically labelled analogues</w:t>
            </w:r>
          </w:p>
        </w:tc>
        <w:tc>
          <w:tcPr>
            <w:tcW w:w="2646" w:type="dxa"/>
            <w:shd w:val="clear" w:color="auto" w:fill="auto"/>
            <w:vAlign w:val="center"/>
          </w:tcPr>
          <w:p w:rsidR="00515349" w:rsidRPr="00162991" w:rsidRDefault="00515349" w:rsidP="00254CA9">
            <w:pPr>
              <w:jc w:val="both"/>
              <w:rPr>
                <w:rFonts w:eastAsia="Calibri" w:cs="Arial"/>
                <w:b/>
                <w:szCs w:val="20"/>
              </w:rPr>
            </w:pPr>
            <w:r w:rsidRPr="00162991">
              <w:rPr>
                <w:rFonts w:eastAsia="Calibri" w:cs="Arial"/>
                <w:b/>
                <w:szCs w:val="20"/>
              </w:rPr>
              <w:t>Corresponding salts</w:t>
            </w:r>
          </w:p>
        </w:tc>
        <w:tc>
          <w:tcPr>
            <w:tcW w:w="2646" w:type="dxa"/>
            <w:shd w:val="clear" w:color="auto" w:fill="auto"/>
            <w:vAlign w:val="center"/>
          </w:tcPr>
          <w:p w:rsidR="00515349" w:rsidRPr="00162991" w:rsidRDefault="00515349" w:rsidP="00254CA9">
            <w:pPr>
              <w:jc w:val="both"/>
              <w:rPr>
                <w:rFonts w:eastAsia="Calibri" w:cs="Arial"/>
                <w:b/>
                <w:szCs w:val="20"/>
              </w:rPr>
            </w:pPr>
            <w:r w:rsidRPr="00162991">
              <w:rPr>
                <w:rFonts w:eastAsia="Calibri" w:cs="Arial"/>
                <w:b/>
                <w:szCs w:val="20"/>
              </w:rPr>
              <w:t>Stereoisomers</w:t>
            </w:r>
          </w:p>
        </w:tc>
      </w:tr>
      <w:tr w:rsidR="00515349" w:rsidRPr="00162991" w:rsidTr="00254CA9">
        <w:tc>
          <w:tcPr>
            <w:tcW w:w="1101" w:type="dxa"/>
            <w:shd w:val="clear" w:color="auto" w:fill="auto"/>
          </w:tcPr>
          <w:p w:rsidR="00515349" w:rsidRPr="00162991" w:rsidRDefault="00515349" w:rsidP="00254CA9">
            <w:pPr>
              <w:jc w:val="both"/>
              <w:rPr>
                <w:rFonts w:eastAsia="Calibri" w:cs="Arial"/>
                <w:b/>
                <w:szCs w:val="20"/>
              </w:rPr>
            </w:pPr>
            <w:r w:rsidRPr="00162991">
              <w:rPr>
                <w:rFonts w:eastAsia="Calibri" w:cs="Arial"/>
                <w:b/>
                <w:szCs w:val="20"/>
              </w:rPr>
              <w:t>1A01</w:t>
            </w:r>
          </w:p>
        </w:tc>
        <w:tc>
          <w:tcPr>
            <w:tcW w:w="2646" w:type="dxa"/>
            <w:shd w:val="clear" w:color="auto" w:fill="auto"/>
          </w:tcPr>
          <w:p w:rsidR="00515349" w:rsidRPr="00162991" w:rsidRDefault="00515349" w:rsidP="00254CA9">
            <w:pPr>
              <w:jc w:val="both"/>
              <w:rPr>
                <w:rFonts w:eastAsia="Calibri" w:cs="Arial"/>
                <w:szCs w:val="20"/>
              </w:rPr>
            </w:pPr>
            <w:r w:rsidRPr="00162991">
              <w:rPr>
                <w:rFonts w:eastAsia="Calibri" w:cs="Arial"/>
                <w:szCs w:val="20"/>
              </w:rPr>
              <w:t>x</w:t>
            </w:r>
          </w:p>
        </w:tc>
        <w:tc>
          <w:tcPr>
            <w:tcW w:w="2646" w:type="dxa"/>
            <w:shd w:val="clear" w:color="auto" w:fill="auto"/>
          </w:tcPr>
          <w:p w:rsidR="00515349" w:rsidRPr="00162991" w:rsidRDefault="00515349" w:rsidP="00254CA9">
            <w:pPr>
              <w:jc w:val="both"/>
              <w:rPr>
                <w:rFonts w:eastAsia="Calibri" w:cs="Arial"/>
                <w:szCs w:val="20"/>
              </w:rPr>
            </w:pPr>
          </w:p>
        </w:tc>
        <w:tc>
          <w:tcPr>
            <w:tcW w:w="2646" w:type="dxa"/>
            <w:shd w:val="clear" w:color="auto" w:fill="auto"/>
          </w:tcPr>
          <w:p w:rsidR="00515349" w:rsidRPr="00162991" w:rsidRDefault="00515349" w:rsidP="00254CA9">
            <w:pPr>
              <w:jc w:val="both"/>
              <w:rPr>
                <w:rFonts w:eastAsia="Calibri" w:cs="Arial"/>
                <w:szCs w:val="20"/>
              </w:rPr>
            </w:pPr>
            <w:r w:rsidRPr="00162991">
              <w:rPr>
                <w:rFonts w:eastAsia="Calibri" w:cs="Arial"/>
                <w:szCs w:val="20"/>
              </w:rPr>
              <w:t>x</w:t>
            </w:r>
          </w:p>
        </w:tc>
      </w:tr>
      <w:tr w:rsidR="00515349" w:rsidRPr="00162991" w:rsidTr="00254CA9">
        <w:tc>
          <w:tcPr>
            <w:tcW w:w="1101" w:type="dxa"/>
            <w:shd w:val="clear" w:color="auto" w:fill="auto"/>
          </w:tcPr>
          <w:p w:rsidR="00515349" w:rsidRPr="00162991" w:rsidRDefault="00515349" w:rsidP="00254CA9">
            <w:pPr>
              <w:jc w:val="both"/>
              <w:rPr>
                <w:rFonts w:eastAsia="Calibri" w:cs="Arial"/>
                <w:b/>
                <w:szCs w:val="20"/>
              </w:rPr>
            </w:pPr>
            <w:r w:rsidRPr="00162991">
              <w:rPr>
                <w:rFonts w:eastAsia="Calibri" w:cs="Arial"/>
                <w:b/>
                <w:szCs w:val="20"/>
              </w:rPr>
              <w:t>1A02</w:t>
            </w:r>
          </w:p>
        </w:tc>
        <w:tc>
          <w:tcPr>
            <w:tcW w:w="2646" w:type="dxa"/>
            <w:shd w:val="clear" w:color="auto" w:fill="auto"/>
          </w:tcPr>
          <w:p w:rsidR="00515349" w:rsidRPr="00162991" w:rsidRDefault="00515349" w:rsidP="00254CA9">
            <w:pPr>
              <w:jc w:val="both"/>
              <w:rPr>
                <w:rFonts w:eastAsia="Calibri" w:cs="Arial"/>
                <w:szCs w:val="20"/>
              </w:rPr>
            </w:pPr>
            <w:r w:rsidRPr="00162991">
              <w:rPr>
                <w:rFonts w:eastAsia="Calibri" w:cs="Arial"/>
                <w:szCs w:val="20"/>
              </w:rPr>
              <w:t>x</w:t>
            </w:r>
          </w:p>
        </w:tc>
        <w:tc>
          <w:tcPr>
            <w:tcW w:w="2646" w:type="dxa"/>
            <w:shd w:val="clear" w:color="auto" w:fill="auto"/>
          </w:tcPr>
          <w:p w:rsidR="00515349" w:rsidRPr="00162991" w:rsidRDefault="00515349" w:rsidP="00254CA9">
            <w:pPr>
              <w:jc w:val="both"/>
              <w:rPr>
                <w:rFonts w:eastAsia="Calibri" w:cs="Arial"/>
                <w:szCs w:val="20"/>
              </w:rPr>
            </w:pPr>
          </w:p>
        </w:tc>
        <w:tc>
          <w:tcPr>
            <w:tcW w:w="2646" w:type="dxa"/>
            <w:shd w:val="clear" w:color="auto" w:fill="auto"/>
          </w:tcPr>
          <w:p w:rsidR="00515349" w:rsidRPr="00162991" w:rsidRDefault="00515349" w:rsidP="00254CA9">
            <w:pPr>
              <w:jc w:val="both"/>
              <w:rPr>
                <w:rFonts w:eastAsia="Calibri" w:cs="Arial"/>
                <w:szCs w:val="20"/>
              </w:rPr>
            </w:pPr>
            <w:r w:rsidRPr="00162991">
              <w:rPr>
                <w:rFonts w:eastAsia="Calibri" w:cs="Arial"/>
                <w:szCs w:val="20"/>
              </w:rPr>
              <w:t>x</w:t>
            </w:r>
          </w:p>
        </w:tc>
      </w:tr>
      <w:tr w:rsidR="00515349" w:rsidRPr="00162991" w:rsidTr="00254CA9">
        <w:tc>
          <w:tcPr>
            <w:tcW w:w="1101" w:type="dxa"/>
            <w:shd w:val="clear" w:color="auto" w:fill="auto"/>
          </w:tcPr>
          <w:p w:rsidR="00515349" w:rsidRPr="00162991" w:rsidRDefault="00515349" w:rsidP="00254CA9">
            <w:pPr>
              <w:jc w:val="both"/>
              <w:rPr>
                <w:rFonts w:eastAsia="Calibri" w:cs="Arial"/>
                <w:b/>
                <w:szCs w:val="20"/>
              </w:rPr>
            </w:pPr>
            <w:r w:rsidRPr="00162991">
              <w:rPr>
                <w:rFonts w:eastAsia="Calibri" w:cs="Arial"/>
                <w:b/>
                <w:szCs w:val="20"/>
              </w:rPr>
              <w:t>1A03</w:t>
            </w:r>
          </w:p>
        </w:tc>
        <w:tc>
          <w:tcPr>
            <w:tcW w:w="2646" w:type="dxa"/>
            <w:shd w:val="clear" w:color="auto" w:fill="auto"/>
          </w:tcPr>
          <w:p w:rsidR="00515349" w:rsidRPr="00162991" w:rsidRDefault="00515349" w:rsidP="00254CA9">
            <w:pPr>
              <w:jc w:val="both"/>
              <w:rPr>
                <w:rFonts w:eastAsia="Calibri" w:cs="Arial"/>
                <w:szCs w:val="20"/>
              </w:rPr>
            </w:pPr>
            <w:r w:rsidRPr="00162991">
              <w:rPr>
                <w:rFonts w:eastAsia="Calibri" w:cs="Arial"/>
                <w:szCs w:val="20"/>
              </w:rPr>
              <w:t>x</w:t>
            </w:r>
          </w:p>
        </w:tc>
        <w:tc>
          <w:tcPr>
            <w:tcW w:w="2646" w:type="dxa"/>
            <w:shd w:val="clear" w:color="auto" w:fill="auto"/>
          </w:tcPr>
          <w:p w:rsidR="00515349" w:rsidRPr="00162991" w:rsidRDefault="00515349" w:rsidP="00254CA9">
            <w:pPr>
              <w:jc w:val="both"/>
              <w:rPr>
                <w:rFonts w:eastAsia="Calibri" w:cs="Arial"/>
                <w:szCs w:val="20"/>
              </w:rPr>
            </w:pPr>
          </w:p>
        </w:tc>
        <w:tc>
          <w:tcPr>
            <w:tcW w:w="2646" w:type="dxa"/>
            <w:shd w:val="clear" w:color="auto" w:fill="auto"/>
          </w:tcPr>
          <w:p w:rsidR="00515349" w:rsidRPr="00162991" w:rsidRDefault="00515349" w:rsidP="00254CA9">
            <w:pPr>
              <w:jc w:val="both"/>
              <w:rPr>
                <w:rFonts w:eastAsia="Calibri" w:cs="Arial"/>
                <w:szCs w:val="20"/>
              </w:rPr>
            </w:pPr>
            <w:r w:rsidRPr="00162991">
              <w:rPr>
                <w:rFonts w:eastAsia="Calibri" w:cs="Arial"/>
                <w:szCs w:val="20"/>
              </w:rPr>
              <w:t>x</w:t>
            </w:r>
          </w:p>
        </w:tc>
      </w:tr>
      <w:tr w:rsidR="00515349" w:rsidRPr="00162991" w:rsidTr="00254CA9">
        <w:tc>
          <w:tcPr>
            <w:tcW w:w="1101" w:type="dxa"/>
            <w:shd w:val="clear" w:color="auto" w:fill="auto"/>
          </w:tcPr>
          <w:p w:rsidR="00515349" w:rsidRPr="00162991" w:rsidRDefault="00515349" w:rsidP="00254CA9">
            <w:pPr>
              <w:jc w:val="both"/>
              <w:rPr>
                <w:rFonts w:eastAsia="Calibri" w:cs="Arial"/>
                <w:b/>
                <w:szCs w:val="20"/>
              </w:rPr>
            </w:pPr>
            <w:r w:rsidRPr="00162991">
              <w:rPr>
                <w:rFonts w:eastAsia="Calibri" w:cs="Arial"/>
                <w:b/>
                <w:szCs w:val="20"/>
              </w:rPr>
              <w:t>1A04</w:t>
            </w:r>
          </w:p>
        </w:tc>
        <w:tc>
          <w:tcPr>
            <w:tcW w:w="2646" w:type="dxa"/>
            <w:shd w:val="clear" w:color="auto" w:fill="auto"/>
          </w:tcPr>
          <w:p w:rsidR="00515349" w:rsidRPr="00162991" w:rsidRDefault="00515349" w:rsidP="00254CA9">
            <w:pPr>
              <w:jc w:val="both"/>
              <w:rPr>
                <w:rFonts w:eastAsia="Calibri" w:cs="Arial"/>
                <w:szCs w:val="20"/>
              </w:rPr>
            </w:pPr>
            <w:r w:rsidRPr="00162991">
              <w:rPr>
                <w:rFonts w:eastAsia="Calibri" w:cs="Arial"/>
                <w:szCs w:val="20"/>
              </w:rPr>
              <w:t>x</w:t>
            </w:r>
          </w:p>
        </w:tc>
        <w:tc>
          <w:tcPr>
            <w:tcW w:w="2646" w:type="dxa"/>
            <w:shd w:val="clear" w:color="auto" w:fill="auto"/>
          </w:tcPr>
          <w:p w:rsidR="00515349" w:rsidRPr="00162991" w:rsidRDefault="00515349" w:rsidP="00254CA9">
            <w:pPr>
              <w:jc w:val="both"/>
              <w:rPr>
                <w:rFonts w:eastAsia="Calibri" w:cs="Arial"/>
                <w:szCs w:val="20"/>
              </w:rPr>
            </w:pPr>
          </w:p>
        </w:tc>
        <w:tc>
          <w:tcPr>
            <w:tcW w:w="2646" w:type="dxa"/>
            <w:shd w:val="clear" w:color="auto" w:fill="auto"/>
          </w:tcPr>
          <w:p w:rsidR="00515349" w:rsidRPr="00162991" w:rsidRDefault="00515349" w:rsidP="00254CA9">
            <w:pPr>
              <w:jc w:val="both"/>
              <w:rPr>
                <w:rFonts w:eastAsia="Calibri" w:cs="Arial"/>
                <w:szCs w:val="20"/>
              </w:rPr>
            </w:pPr>
          </w:p>
        </w:tc>
      </w:tr>
      <w:tr w:rsidR="00515349" w:rsidRPr="00162991" w:rsidTr="00254CA9">
        <w:tc>
          <w:tcPr>
            <w:tcW w:w="1101" w:type="dxa"/>
            <w:shd w:val="clear" w:color="auto" w:fill="auto"/>
          </w:tcPr>
          <w:p w:rsidR="00515349" w:rsidRPr="00162991" w:rsidRDefault="00515349" w:rsidP="00254CA9">
            <w:pPr>
              <w:jc w:val="both"/>
              <w:rPr>
                <w:rFonts w:eastAsia="Calibri" w:cs="Arial"/>
                <w:b/>
                <w:szCs w:val="20"/>
              </w:rPr>
            </w:pPr>
            <w:r w:rsidRPr="00162991">
              <w:rPr>
                <w:rFonts w:eastAsia="Calibri" w:cs="Arial"/>
                <w:b/>
                <w:szCs w:val="20"/>
              </w:rPr>
              <w:t>1A05</w:t>
            </w:r>
          </w:p>
        </w:tc>
        <w:tc>
          <w:tcPr>
            <w:tcW w:w="2646" w:type="dxa"/>
            <w:shd w:val="clear" w:color="auto" w:fill="auto"/>
          </w:tcPr>
          <w:p w:rsidR="00515349" w:rsidRPr="00162991" w:rsidRDefault="00515349" w:rsidP="00254CA9">
            <w:pPr>
              <w:jc w:val="both"/>
              <w:rPr>
                <w:rFonts w:eastAsia="Calibri" w:cs="Arial"/>
                <w:szCs w:val="20"/>
              </w:rPr>
            </w:pPr>
            <w:r w:rsidRPr="00162991">
              <w:rPr>
                <w:rFonts w:eastAsia="Calibri" w:cs="Arial"/>
                <w:szCs w:val="20"/>
              </w:rPr>
              <w:t>x</w:t>
            </w:r>
          </w:p>
        </w:tc>
        <w:tc>
          <w:tcPr>
            <w:tcW w:w="2646" w:type="dxa"/>
            <w:shd w:val="clear" w:color="auto" w:fill="auto"/>
          </w:tcPr>
          <w:p w:rsidR="00515349" w:rsidRPr="00162991" w:rsidRDefault="00515349" w:rsidP="00254CA9">
            <w:pPr>
              <w:jc w:val="both"/>
              <w:rPr>
                <w:rFonts w:eastAsia="Calibri" w:cs="Arial"/>
                <w:szCs w:val="20"/>
              </w:rPr>
            </w:pPr>
          </w:p>
        </w:tc>
        <w:tc>
          <w:tcPr>
            <w:tcW w:w="2646" w:type="dxa"/>
            <w:shd w:val="clear" w:color="auto" w:fill="auto"/>
          </w:tcPr>
          <w:p w:rsidR="00515349" w:rsidRPr="00162991" w:rsidRDefault="00515349" w:rsidP="00254CA9">
            <w:pPr>
              <w:jc w:val="both"/>
              <w:rPr>
                <w:rFonts w:eastAsia="Calibri" w:cs="Arial"/>
                <w:szCs w:val="20"/>
              </w:rPr>
            </w:pPr>
            <w:r w:rsidRPr="00162991">
              <w:rPr>
                <w:rFonts w:eastAsia="Calibri" w:cs="Arial"/>
                <w:szCs w:val="20"/>
              </w:rPr>
              <w:t>x</w:t>
            </w:r>
          </w:p>
        </w:tc>
      </w:tr>
      <w:tr w:rsidR="00515349" w:rsidRPr="00162991" w:rsidTr="00254CA9">
        <w:tc>
          <w:tcPr>
            <w:tcW w:w="1101" w:type="dxa"/>
            <w:shd w:val="clear" w:color="auto" w:fill="auto"/>
          </w:tcPr>
          <w:p w:rsidR="00515349" w:rsidRPr="00495739" w:rsidRDefault="00515349" w:rsidP="00254CA9">
            <w:pPr>
              <w:jc w:val="both"/>
              <w:rPr>
                <w:rFonts w:eastAsia="Calibri" w:cs="Arial"/>
                <w:b/>
                <w:szCs w:val="20"/>
              </w:rPr>
            </w:pPr>
            <w:r w:rsidRPr="00495739">
              <w:rPr>
                <w:rFonts w:eastAsia="Calibri" w:cs="Arial"/>
                <w:b/>
                <w:szCs w:val="20"/>
              </w:rPr>
              <w:t>1A06</w:t>
            </w:r>
          </w:p>
        </w:tc>
        <w:tc>
          <w:tcPr>
            <w:tcW w:w="2646" w:type="dxa"/>
            <w:shd w:val="clear" w:color="auto" w:fill="auto"/>
          </w:tcPr>
          <w:p w:rsidR="00515349" w:rsidRPr="00495739" w:rsidRDefault="00515349" w:rsidP="00254CA9">
            <w:pPr>
              <w:jc w:val="both"/>
              <w:rPr>
                <w:rFonts w:eastAsia="Calibri" w:cs="Arial"/>
                <w:szCs w:val="20"/>
              </w:rPr>
            </w:pPr>
            <w:r w:rsidRPr="00495739">
              <w:rPr>
                <w:rFonts w:eastAsia="Calibri" w:cs="Arial"/>
                <w:szCs w:val="20"/>
              </w:rPr>
              <w:t>x</w:t>
            </w:r>
          </w:p>
        </w:tc>
        <w:tc>
          <w:tcPr>
            <w:tcW w:w="2646" w:type="dxa"/>
            <w:shd w:val="clear" w:color="auto" w:fill="auto"/>
          </w:tcPr>
          <w:p w:rsidR="00515349" w:rsidRPr="00495739" w:rsidRDefault="00515349" w:rsidP="00254CA9">
            <w:pPr>
              <w:jc w:val="both"/>
              <w:rPr>
                <w:rFonts w:eastAsia="Calibri" w:cs="Arial"/>
                <w:szCs w:val="20"/>
              </w:rPr>
            </w:pPr>
            <w:r w:rsidRPr="00495739">
              <w:rPr>
                <w:rFonts w:eastAsia="Calibri" w:cs="Arial"/>
                <w:szCs w:val="20"/>
              </w:rPr>
              <w:t>x</w:t>
            </w:r>
          </w:p>
        </w:tc>
        <w:tc>
          <w:tcPr>
            <w:tcW w:w="2646" w:type="dxa"/>
            <w:shd w:val="clear" w:color="auto" w:fill="auto"/>
          </w:tcPr>
          <w:p w:rsidR="00515349" w:rsidRPr="00495739" w:rsidRDefault="00515349" w:rsidP="00254CA9">
            <w:pPr>
              <w:jc w:val="both"/>
              <w:rPr>
                <w:rFonts w:eastAsia="Calibri" w:cs="Arial"/>
                <w:szCs w:val="20"/>
                <w:highlight w:val="yellow"/>
              </w:rPr>
            </w:pPr>
          </w:p>
        </w:tc>
      </w:tr>
      <w:tr w:rsidR="00515349" w:rsidRPr="00162991" w:rsidTr="00254CA9">
        <w:tc>
          <w:tcPr>
            <w:tcW w:w="1101" w:type="dxa"/>
            <w:shd w:val="clear" w:color="auto" w:fill="auto"/>
          </w:tcPr>
          <w:p w:rsidR="00515349" w:rsidRPr="00162991" w:rsidRDefault="00515349" w:rsidP="00254CA9">
            <w:pPr>
              <w:jc w:val="both"/>
              <w:rPr>
                <w:rFonts w:eastAsia="Calibri" w:cs="Arial"/>
                <w:b/>
                <w:szCs w:val="20"/>
              </w:rPr>
            </w:pPr>
            <w:r w:rsidRPr="00162991">
              <w:rPr>
                <w:rFonts w:eastAsia="Calibri" w:cs="Arial"/>
                <w:b/>
                <w:szCs w:val="20"/>
              </w:rPr>
              <w:t>1A07</w:t>
            </w:r>
          </w:p>
        </w:tc>
        <w:tc>
          <w:tcPr>
            <w:tcW w:w="2646" w:type="dxa"/>
            <w:tcBorders>
              <w:bottom w:val="single" w:sz="4" w:space="0" w:color="auto"/>
            </w:tcBorders>
            <w:shd w:val="clear" w:color="auto" w:fill="auto"/>
          </w:tcPr>
          <w:p w:rsidR="00515349" w:rsidRPr="00162991" w:rsidRDefault="00515349" w:rsidP="00254CA9">
            <w:pPr>
              <w:jc w:val="both"/>
              <w:rPr>
                <w:rFonts w:eastAsia="Calibri" w:cs="Arial"/>
                <w:szCs w:val="20"/>
              </w:rPr>
            </w:pPr>
            <w:r w:rsidRPr="00162991">
              <w:rPr>
                <w:rFonts w:eastAsia="Calibri" w:cs="Arial"/>
                <w:szCs w:val="20"/>
              </w:rPr>
              <w:t>x</w:t>
            </w:r>
          </w:p>
        </w:tc>
        <w:tc>
          <w:tcPr>
            <w:tcW w:w="2646" w:type="dxa"/>
            <w:tcBorders>
              <w:bottom w:val="single" w:sz="4" w:space="0" w:color="auto"/>
            </w:tcBorders>
            <w:shd w:val="clear" w:color="auto" w:fill="auto"/>
          </w:tcPr>
          <w:p w:rsidR="00515349" w:rsidRPr="00162991" w:rsidRDefault="00515349" w:rsidP="00254CA9">
            <w:pPr>
              <w:jc w:val="both"/>
              <w:rPr>
                <w:rFonts w:eastAsia="Calibri" w:cs="Arial"/>
                <w:szCs w:val="20"/>
              </w:rPr>
            </w:pPr>
            <w:r w:rsidRPr="00162991">
              <w:rPr>
                <w:rFonts w:eastAsia="Calibri" w:cs="Arial"/>
                <w:szCs w:val="20"/>
              </w:rPr>
              <w:t>x</w:t>
            </w:r>
          </w:p>
        </w:tc>
        <w:tc>
          <w:tcPr>
            <w:tcW w:w="2646" w:type="dxa"/>
            <w:tcBorders>
              <w:bottom w:val="single" w:sz="4" w:space="0" w:color="auto"/>
            </w:tcBorders>
            <w:shd w:val="clear" w:color="auto" w:fill="auto"/>
          </w:tcPr>
          <w:p w:rsidR="00515349" w:rsidRPr="00162991" w:rsidRDefault="00515349" w:rsidP="00254CA9">
            <w:pPr>
              <w:jc w:val="both"/>
              <w:rPr>
                <w:rFonts w:eastAsia="Calibri" w:cs="Arial"/>
                <w:szCs w:val="20"/>
              </w:rPr>
            </w:pPr>
            <w:r w:rsidRPr="00162991">
              <w:rPr>
                <w:rFonts w:eastAsia="Calibri" w:cs="Arial"/>
                <w:szCs w:val="20"/>
              </w:rPr>
              <w:t>x</w:t>
            </w:r>
          </w:p>
        </w:tc>
      </w:tr>
      <w:tr w:rsidR="00515349" w:rsidRPr="00162991" w:rsidTr="00254CA9">
        <w:tc>
          <w:tcPr>
            <w:tcW w:w="1101" w:type="dxa"/>
            <w:shd w:val="clear" w:color="auto" w:fill="auto"/>
          </w:tcPr>
          <w:p w:rsidR="00515349" w:rsidRPr="00162991" w:rsidRDefault="00515349" w:rsidP="00254CA9">
            <w:pPr>
              <w:jc w:val="both"/>
              <w:rPr>
                <w:rFonts w:eastAsia="Calibri" w:cs="Arial"/>
                <w:b/>
                <w:szCs w:val="20"/>
              </w:rPr>
            </w:pPr>
            <w:r w:rsidRPr="00162991">
              <w:rPr>
                <w:rFonts w:eastAsia="Calibri" w:cs="Arial"/>
                <w:b/>
                <w:szCs w:val="20"/>
              </w:rPr>
              <w:t>1A08</w:t>
            </w:r>
          </w:p>
        </w:tc>
        <w:tc>
          <w:tcPr>
            <w:tcW w:w="2646" w:type="dxa"/>
            <w:shd w:val="clear" w:color="auto" w:fill="auto"/>
          </w:tcPr>
          <w:p w:rsidR="00515349" w:rsidRPr="00D47C17" w:rsidRDefault="00515349" w:rsidP="00254CA9">
            <w:pPr>
              <w:jc w:val="both"/>
              <w:rPr>
                <w:rFonts w:eastAsia="Calibri" w:cs="Arial"/>
                <w:szCs w:val="20"/>
              </w:rPr>
            </w:pPr>
            <w:r w:rsidRPr="00D47C17">
              <w:rPr>
                <w:rFonts w:eastAsia="Calibri" w:cs="Arial"/>
                <w:szCs w:val="20"/>
              </w:rPr>
              <w:t>x</w:t>
            </w:r>
          </w:p>
        </w:tc>
        <w:tc>
          <w:tcPr>
            <w:tcW w:w="2646" w:type="dxa"/>
            <w:shd w:val="clear" w:color="auto" w:fill="auto"/>
          </w:tcPr>
          <w:p w:rsidR="00515349" w:rsidRPr="00D47C17" w:rsidRDefault="00515349" w:rsidP="00254CA9">
            <w:pPr>
              <w:jc w:val="both"/>
              <w:rPr>
                <w:rFonts w:eastAsia="Calibri" w:cs="Arial"/>
                <w:szCs w:val="20"/>
                <w:highlight w:val="lightGray"/>
              </w:rPr>
            </w:pPr>
          </w:p>
        </w:tc>
        <w:tc>
          <w:tcPr>
            <w:tcW w:w="2646" w:type="dxa"/>
            <w:shd w:val="clear" w:color="auto" w:fill="auto"/>
          </w:tcPr>
          <w:p w:rsidR="00515349" w:rsidRPr="00D47C17" w:rsidRDefault="00515349" w:rsidP="00254CA9">
            <w:pPr>
              <w:jc w:val="both"/>
              <w:rPr>
                <w:rFonts w:eastAsia="Calibri" w:cs="Arial"/>
                <w:szCs w:val="20"/>
              </w:rPr>
            </w:pPr>
          </w:p>
        </w:tc>
      </w:tr>
      <w:tr w:rsidR="00515349" w:rsidRPr="00162991" w:rsidTr="00254CA9">
        <w:tc>
          <w:tcPr>
            <w:tcW w:w="1101" w:type="dxa"/>
            <w:shd w:val="clear" w:color="auto" w:fill="auto"/>
          </w:tcPr>
          <w:p w:rsidR="00515349" w:rsidRPr="00162991" w:rsidRDefault="00515349" w:rsidP="00254CA9">
            <w:pPr>
              <w:jc w:val="both"/>
              <w:rPr>
                <w:rFonts w:eastAsia="Calibri" w:cs="Arial"/>
                <w:b/>
                <w:szCs w:val="20"/>
              </w:rPr>
            </w:pPr>
            <w:r w:rsidRPr="00162991">
              <w:rPr>
                <w:rFonts w:eastAsia="Calibri" w:cs="Arial"/>
                <w:b/>
                <w:szCs w:val="20"/>
              </w:rPr>
              <w:t>1B09</w:t>
            </w:r>
          </w:p>
        </w:tc>
        <w:tc>
          <w:tcPr>
            <w:tcW w:w="2646" w:type="dxa"/>
            <w:shd w:val="clear" w:color="auto" w:fill="auto"/>
          </w:tcPr>
          <w:p w:rsidR="00515349" w:rsidRPr="00162991" w:rsidRDefault="00515349" w:rsidP="00254CA9">
            <w:pPr>
              <w:jc w:val="both"/>
              <w:rPr>
                <w:rFonts w:eastAsia="Calibri" w:cs="Arial"/>
                <w:szCs w:val="20"/>
              </w:rPr>
            </w:pPr>
            <w:r w:rsidRPr="00162991">
              <w:rPr>
                <w:rFonts w:eastAsia="Calibri" w:cs="Arial"/>
                <w:szCs w:val="20"/>
              </w:rPr>
              <w:t>x</w:t>
            </w:r>
          </w:p>
        </w:tc>
        <w:tc>
          <w:tcPr>
            <w:tcW w:w="2646" w:type="dxa"/>
            <w:shd w:val="clear" w:color="auto" w:fill="auto"/>
          </w:tcPr>
          <w:p w:rsidR="00515349" w:rsidRPr="00162991" w:rsidRDefault="00515349" w:rsidP="00254CA9">
            <w:pPr>
              <w:jc w:val="both"/>
              <w:rPr>
                <w:rFonts w:eastAsia="Calibri" w:cs="Arial"/>
                <w:szCs w:val="20"/>
              </w:rPr>
            </w:pPr>
          </w:p>
        </w:tc>
        <w:tc>
          <w:tcPr>
            <w:tcW w:w="2646" w:type="dxa"/>
            <w:shd w:val="clear" w:color="auto" w:fill="auto"/>
          </w:tcPr>
          <w:p w:rsidR="00515349" w:rsidRPr="00162991" w:rsidRDefault="00515349" w:rsidP="00254CA9">
            <w:pPr>
              <w:jc w:val="both"/>
              <w:rPr>
                <w:rFonts w:eastAsia="Calibri" w:cs="Arial"/>
                <w:szCs w:val="20"/>
              </w:rPr>
            </w:pPr>
          </w:p>
        </w:tc>
      </w:tr>
      <w:tr w:rsidR="00515349" w:rsidRPr="00162991" w:rsidTr="00254CA9">
        <w:tc>
          <w:tcPr>
            <w:tcW w:w="1101" w:type="dxa"/>
            <w:shd w:val="clear" w:color="auto" w:fill="auto"/>
          </w:tcPr>
          <w:p w:rsidR="00515349" w:rsidRPr="00162991" w:rsidRDefault="00515349" w:rsidP="00254CA9">
            <w:pPr>
              <w:jc w:val="both"/>
              <w:rPr>
                <w:rFonts w:eastAsia="Calibri" w:cs="Arial"/>
                <w:b/>
                <w:szCs w:val="20"/>
              </w:rPr>
            </w:pPr>
            <w:r w:rsidRPr="00162991">
              <w:rPr>
                <w:rFonts w:eastAsia="Calibri" w:cs="Arial"/>
                <w:b/>
                <w:szCs w:val="20"/>
              </w:rPr>
              <w:t>1B10</w:t>
            </w:r>
          </w:p>
        </w:tc>
        <w:tc>
          <w:tcPr>
            <w:tcW w:w="2646" w:type="dxa"/>
            <w:shd w:val="clear" w:color="auto" w:fill="auto"/>
          </w:tcPr>
          <w:p w:rsidR="00515349" w:rsidRPr="00162991" w:rsidRDefault="00515349" w:rsidP="00254CA9">
            <w:pPr>
              <w:jc w:val="both"/>
              <w:rPr>
                <w:rFonts w:eastAsia="Calibri" w:cs="Arial"/>
                <w:szCs w:val="20"/>
              </w:rPr>
            </w:pPr>
            <w:r>
              <w:rPr>
                <w:rFonts w:eastAsia="Calibri" w:cs="Arial"/>
                <w:szCs w:val="20"/>
              </w:rPr>
              <w:t>x</w:t>
            </w:r>
          </w:p>
        </w:tc>
        <w:tc>
          <w:tcPr>
            <w:tcW w:w="2646" w:type="dxa"/>
            <w:shd w:val="clear" w:color="auto" w:fill="auto"/>
          </w:tcPr>
          <w:p w:rsidR="00515349" w:rsidRPr="00162991" w:rsidRDefault="00515349" w:rsidP="00254CA9">
            <w:pPr>
              <w:jc w:val="both"/>
              <w:rPr>
                <w:rFonts w:eastAsia="Calibri" w:cs="Arial"/>
                <w:szCs w:val="20"/>
              </w:rPr>
            </w:pPr>
          </w:p>
        </w:tc>
        <w:tc>
          <w:tcPr>
            <w:tcW w:w="2646" w:type="dxa"/>
            <w:shd w:val="clear" w:color="auto" w:fill="auto"/>
          </w:tcPr>
          <w:p w:rsidR="00515349" w:rsidRPr="00162991" w:rsidRDefault="00515349" w:rsidP="00254CA9">
            <w:pPr>
              <w:jc w:val="both"/>
              <w:rPr>
                <w:rFonts w:eastAsia="Calibri" w:cs="Arial"/>
                <w:szCs w:val="20"/>
              </w:rPr>
            </w:pPr>
          </w:p>
        </w:tc>
      </w:tr>
      <w:tr w:rsidR="00515349" w:rsidRPr="00162991" w:rsidTr="00254CA9">
        <w:tc>
          <w:tcPr>
            <w:tcW w:w="1101" w:type="dxa"/>
            <w:shd w:val="clear" w:color="auto" w:fill="auto"/>
          </w:tcPr>
          <w:p w:rsidR="00515349" w:rsidRPr="00162991" w:rsidRDefault="00515349" w:rsidP="00254CA9">
            <w:pPr>
              <w:jc w:val="both"/>
              <w:rPr>
                <w:rFonts w:eastAsia="Calibri" w:cs="Arial"/>
                <w:b/>
                <w:szCs w:val="20"/>
              </w:rPr>
            </w:pPr>
            <w:r w:rsidRPr="00162991">
              <w:rPr>
                <w:rFonts w:eastAsia="Calibri" w:cs="Arial"/>
                <w:b/>
                <w:szCs w:val="20"/>
              </w:rPr>
              <w:t>1B11</w:t>
            </w:r>
          </w:p>
        </w:tc>
        <w:tc>
          <w:tcPr>
            <w:tcW w:w="2646" w:type="dxa"/>
            <w:shd w:val="clear" w:color="auto" w:fill="auto"/>
          </w:tcPr>
          <w:p w:rsidR="00515349" w:rsidRPr="00162991" w:rsidRDefault="00515349" w:rsidP="00254CA9">
            <w:pPr>
              <w:jc w:val="both"/>
              <w:rPr>
                <w:rFonts w:eastAsia="Calibri" w:cs="Arial"/>
                <w:szCs w:val="20"/>
              </w:rPr>
            </w:pPr>
            <w:r w:rsidRPr="00162991">
              <w:rPr>
                <w:rFonts w:eastAsia="Calibri" w:cs="Arial"/>
                <w:szCs w:val="20"/>
              </w:rPr>
              <w:t>x</w:t>
            </w:r>
          </w:p>
        </w:tc>
        <w:tc>
          <w:tcPr>
            <w:tcW w:w="2646" w:type="dxa"/>
            <w:shd w:val="clear" w:color="auto" w:fill="auto"/>
          </w:tcPr>
          <w:p w:rsidR="00515349" w:rsidRPr="00162991" w:rsidRDefault="00515349" w:rsidP="00254CA9">
            <w:pPr>
              <w:jc w:val="both"/>
              <w:rPr>
                <w:rFonts w:eastAsia="Calibri" w:cs="Arial"/>
                <w:szCs w:val="20"/>
              </w:rPr>
            </w:pPr>
          </w:p>
        </w:tc>
        <w:tc>
          <w:tcPr>
            <w:tcW w:w="2646" w:type="dxa"/>
            <w:shd w:val="clear" w:color="auto" w:fill="auto"/>
          </w:tcPr>
          <w:p w:rsidR="00515349" w:rsidRPr="00162991" w:rsidRDefault="00515349" w:rsidP="00254CA9">
            <w:pPr>
              <w:jc w:val="both"/>
              <w:rPr>
                <w:rFonts w:eastAsia="Calibri" w:cs="Arial"/>
                <w:szCs w:val="20"/>
              </w:rPr>
            </w:pPr>
            <w:r w:rsidRPr="00162991">
              <w:rPr>
                <w:rFonts w:eastAsia="Calibri" w:cs="Arial"/>
                <w:szCs w:val="20"/>
              </w:rPr>
              <w:t>x</w:t>
            </w:r>
          </w:p>
        </w:tc>
      </w:tr>
      <w:tr w:rsidR="00515349" w:rsidRPr="00162991" w:rsidTr="00254CA9">
        <w:tc>
          <w:tcPr>
            <w:tcW w:w="1101" w:type="dxa"/>
            <w:shd w:val="clear" w:color="auto" w:fill="auto"/>
          </w:tcPr>
          <w:p w:rsidR="00515349" w:rsidRPr="00162991" w:rsidRDefault="00515349" w:rsidP="00254CA9">
            <w:pPr>
              <w:jc w:val="both"/>
              <w:rPr>
                <w:rFonts w:eastAsia="Calibri" w:cs="Arial"/>
                <w:b/>
                <w:szCs w:val="20"/>
              </w:rPr>
            </w:pPr>
            <w:r w:rsidRPr="00162991">
              <w:rPr>
                <w:rFonts w:eastAsia="Calibri" w:cs="Arial"/>
                <w:b/>
                <w:szCs w:val="20"/>
              </w:rPr>
              <w:t>1B12</w:t>
            </w:r>
          </w:p>
        </w:tc>
        <w:tc>
          <w:tcPr>
            <w:tcW w:w="2646" w:type="dxa"/>
            <w:shd w:val="clear" w:color="auto" w:fill="auto"/>
          </w:tcPr>
          <w:p w:rsidR="00515349" w:rsidRPr="00162991" w:rsidRDefault="00515349" w:rsidP="00254CA9">
            <w:pPr>
              <w:jc w:val="both"/>
              <w:rPr>
                <w:rFonts w:eastAsia="Calibri" w:cs="Arial"/>
                <w:szCs w:val="20"/>
              </w:rPr>
            </w:pPr>
            <w:r w:rsidRPr="00162991">
              <w:rPr>
                <w:rFonts w:eastAsia="Calibri" w:cs="Arial"/>
                <w:szCs w:val="20"/>
              </w:rPr>
              <w:t>x</w:t>
            </w:r>
          </w:p>
        </w:tc>
        <w:tc>
          <w:tcPr>
            <w:tcW w:w="2646" w:type="dxa"/>
            <w:shd w:val="clear" w:color="auto" w:fill="auto"/>
          </w:tcPr>
          <w:p w:rsidR="00515349" w:rsidRPr="00162991" w:rsidRDefault="00515349" w:rsidP="00254CA9">
            <w:pPr>
              <w:jc w:val="both"/>
              <w:rPr>
                <w:rFonts w:eastAsia="Calibri" w:cs="Arial"/>
                <w:szCs w:val="20"/>
              </w:rPr>
            </w:pPr>
          </w:p>
        </w:tc>
        <w:tc>
          <w:tcPr>
            <w:tcW w:w="2646" w:type="dxa"/>
            <w:shd w:val="clear" w:color="auto" w:fill="auto"/>
          </w:tcPr>
          <w:p w:rsidR="00515349" w:rsidRPr="00162991" w:rsidRDefault="00515349" w:rsidP="00254CA9">
            <w:pPr>
              <w:jc w:val="both"/>
              <w:rPr>
                <w:rFonts w:eastAsia="Calibri" w:cs="Arial"/>
                <w:szCs w:val="20"/>
              </w:rPr>
            </w:pPr>
            <w:r w:rsidRPr="00162991">
              <w:rPr>
                <w:rFonts w:eastAsia="Calibri" w:cs="Arial"/>
                <w:szCs w:val="20"/>
              </w:rPr>
              <w:t>x</w:t>
            </w:r>
          </w:p>
        </w:tc>
      </w:tr>
    </w:tbl>
    <w:p w:rsidR="00515349" w:rsidRPr="00162991" w:rsidRDefault="00515349" w:rsidP="00515349">
      <w:pPr>
        <w:jc w:val="both"/>
        <w:rPr>
          <w:rFonts w:eastAsia="Calibri" w:cs="Arial"/>
          <w:b/>
          <w:szCs w:val="20"/>
        </w:rPr>
      </w:pPr>
    </w:p>
    <w:p w:rsidR="00515349" w:rsidRPr="00495739" w:rsidRDefault="00515349" w:rsidP="00515349">
      <w:pPr>
        <w:jc w:val="both"/>
        <w:rPr>
          <w:rFonts w:eastAsia="Calibri" w:cs="Arial"/>
          <w:b/>
          <w:szCs w:val="20"/>
          <w:u w:val="single"/>
        </w:rPr>
      </w:pPr>
      <w:r w:rsidRPr="00495739">
        <w:rPr>
          <w:rFonts w:eastAsia="Calibri" w:cs="Arial"/>
          <w:b/>
          <w:szCs w:val="20"/>
          <w:u w:val="single"/>
        </w:rPr>
        <w:t>Schedule 1A01 – Toxic chemicals</w:t>
      </w:r>
    </w:p>
    <w:p w:rsidR="00515349" w:rsidRPr="00162991" w:rsidRDefault="00515349" w:rsidP="00515349">
      <w:pPr>
        <w:jc w:val="both"/>
        <w:rPr>
          <w:rFonts w:eastAsia="Calibri" w:cs="Arial"/>
          <w:szCs w:val="20"/>
        </w:rPr>
      </w:pPr>
      <w:r w:rsidRPr="00162991">
        <w:rPr>
          <w:rFonts w:eastAsia="Calibri" w:cs="Arial"/>
          <w:szCs w:val="20"/>
        </w:rPr>
        <w:t>In addition to the chemicals which are covered by the generic descriptors of scheduled ‘families’ in 1A01:</w:t>
      </w:r>
    </w:p>
    <w:p w:rsidR="00515349" w:rsidRPr="00162991" w:rsidRDefault="00515349" w:rsidP="00515349">
      <w:pPr>
        <w:numPr>
          <w:ilvl w:val="0"/>
          <w:numId w:val="1"/>
        </w:numPr>
        <w:tabs>
          <w:tab w:val="clear" w:pos="567"/>
          <w:tab w:val="clear" w:pos="1134"/>
          <w:tab w:val="clear" w:pos="1701"/>
          <w:tab w:val="clear" w:pos="5670"/>
          <w:tab w:val="clear" w:pos="9356"/>
        </w:tabs>
        <w:spacing w:after="0"/>
        <w:contextualSpacing/>
        <w:jc w:val="both"/>
        <w:rPr>
          <w:rFonts w:eastAsia="Calibri" w:cs="Arial"/>
          <w:szCs w:val="20"/>
        </w:rPr>
      </w:pPr>
      <w:r w:rsidRPr="00162991">
        <w:rPr>
          <w:rFonts w:eastAsia="Calibri" w:cs="Arial"/>
          <w:szCs w:val="20"/>
        </w:rPr>
        <w:lastRenderedPageBreak/>
        <w:t>Isotopically labelled and radiolabelled analogues of the chemical group described in 1A01 should be declared.  This includes, but is not limited to, chemicals containing deuterium, carbon-14, and phosphorus-32.</w:t>
      </w:r>
    </w:p>
    <w:p w:rsidR="00515349" w:rsidRPr="00162991" w:rsidRDefault="00515349" w:rsidP="00515349">
      <w:pPr>
        <w:ind w:left="720"/>
        <w:contextualSpacing/>
        <w:jc w:val="both"/>
        <w:rPr>
          <w:rFonts w:eastAsia="Calibri" w:cs="Arial"/>
          <w:szCs w:val="20"/>
        </w:rPr>
      </w:pPr>
    </w:p>
    <w:p w:rsidR="00515349" w:rsidRPr="00162991" w:rsidRDefault="00515349" w:rsidP="00515349">
      <w:pPr>
        <w:numPr>
          <w:ilvl w:val="0"/>
          <w:numId w:val="1"/>
        </w:numPr>
        <w:tabs>
          <w:tab w:val="clear" w:pos="567"/>
          <w:tab w:val="clear" w:pos="1134"/>
          <w:tab w:val="clear" w:pos="1701"/>
          <w:tab w:val="clear" w:pos="5670"/>
          <w:tab w:val="clear" w:pos="9356"/>
        </w:tabs>
        <w:spacing w:after="0"/>
        <w:contextualSpacing/>
        <w:jc w:val="both"/>
        <w:rPr>
          <w:rFonts w:eastAsia="Calibri" w:cs="Arial"/>
          <w:szCs w:val="20"/>
        </w:rPr>
      </w:pPr>
      <w:r w:rsidRPr="00162991">
        <w:rPr>
          <w:rFonts w:eastAsia="Calibri" w:cs="Arial"/>
          <w:szCs w:val="20"/>
        </w:rPr>
        <w:t>All stereoisomers, including mixtures of stereoisomers, of the chemical group described in 1A01 should also be declared.</w:t>
      </w:r>
    </w:p>
    <w:p w:rsidR="00515349" w:rsidRPr="008E05BC" w:rsidRDefault="00515349" w:rsidP="00515349">
      <w:pPr>
        <w:jc w:val="both"/>
        <w:rPr>
          <w:rFonts w:eastAsia="Calibri" w:cs="Arial"/>
          <w:b/>
          <w:szCs w:val="20"/>
        </w:rPr>
      </w:pPr>
    </w:p>
    <w:p w:rsidR="00515349" w:rsidRPr="00495739" w:rsidRDefault="00515349" w:rsidP="00515349">
      <w:pPr>
        <w:jc w:val="both"/>
        <w:rPr>
          <w:rFonts w:eastAsia="Calibri" w:cs="Arial"/>
          <w:b/>
          <w:szCs w:val="20"/>
          <w:u w:val="single"/>
        </w:rPr>
      </w:pPr>
      <w:r w:rsidRPr="00495739">
        <w:rPr>
          <w:rFonts w:eastAsia="Calibri" w:cs="Arial"/>
          <w:b/>
          <w:szCs w:val="20"/>
          <w:u w:val="single"/>
        </w:rPr>
        <w:t>Schedule 1A02 – Toxic chemicals</w:t>
      </w:r>
    </w:p>
    <w:p w:rsidR="00515349" w:rsidRPr="00162991" w:rsidRDefault="00515349" w:rsidP="00515349">
      <w:pPr>
        <w:jc w:val="both"/>
        <w:rPr>
          <w:rFonts w:eastAsia="Calibri" w:cs="Arial"/>
          <w:szCs w:val="20"/>
        </w:rPr>
      </w:pPr>
      <w:r w:rsidRPr="00162991">
        <w:rPr>
          <w:rFonts w:eastAsia="Calibri" w:cs="Arial"/>
          <w:szCs w:val="20"/>
        </w:rPr>
        <w:t>In addition to the chemicals which are covered by the generic descriptors of scheduled ‘families’ in 1A02:</w:t>
      </w:r>
    </w:p>
    <w:p w:rsidR="00515349" w:rsidRPr="00162991" w:rsidRDefault="00515349" w:rsidP="00515349">
      <w:pPr>
        <w:numPr>
          <w:ilvl w:val="0"/>
          <w:numId w:val="1"/>
        </w:numPr>
        <w:tabs>
          <w:tab w:val="clear" w:pos="567"/>
          <w:tab w:val="clear" w:pos="1134"/>
          <w:tab w:val="clear" w:pos="1701"/>
          <w:tab w:val="clear" w:pos="5670"/>
          <w:tab w:val="clear" w:pos="9356"/>
        </w:tabs>
        <w:spacing w:after="0"/>
        <w:contextualSpacing/>
        <w:jc w:val="both"/>
        <w:rPr>
          <w:rFonts w:eastAsia="Calibri" w:cs="Arial"/>
          <w:szCs w:val="20"/>
        </w:rPr>
      </w:pPr>
      <w:r w:rsidRPr="00162991">
        <w:rPr>
          <w:rFonts w:eastAsia="Calibri" w:cs="Arial"/>
          <w:szCs w:val="20"/>
        </w:rPr>
        <w:t>Isotopically labelled and radiolabelled analogues of the chemical group described in 1A02 should also be declared.  This includes, but is not limited to, chemicals containing deuterium, carbon-14, and phosphorus-32.</w:t>
      </w:r>
    </w:p>
    <w:p w:rsidR="00515349" w:rsidRPr="00162991" w:rsidRDefault="00515349" w:rsidP="00515349">
      <w:pPr>
        <w:ind w:left="720"/>
        <w:contextualSpacing/>
        <w:jc w:val="both"/>
        <w:rPr>
          <w:rFonts w:eastAsia="Calibri" w:cs="Arial"/>
          <w:szCs w:val="20"/>
        </w:rPr>
      </w:pPr>
    </w:p>
    <w:p w:rsidR="00515349" w:rsidRPr="00162991" w:rsidRDefault="00515349" w:rsidP="00515349">
      <w:pPr>
        <w:numPr>
          <w:ilvl w:val="0"/>
          <w:numId w:val="1"/>
        </w:numPr>
        <w:tabs>
          <w:tab w:val="clear" w:pos="567"/>
          <w:tab w:val="clear" w:pos="1134"/>
          <w:tab w:val="clear" w:pos="1701"/>
          <w:tab w:val="clear" w:pos="5670"/>
          <w:tab w:val="clear" w:pos="9356"/>
        </w:tabs>
        <w:spacing w:after="0"/>
        <w:contextualSpacing/>
        <w:jc w:val="both"/>
        <w:rPr>
          <w:rFonts w:eastAsia="Calibri" w:cs="Arial"/>
          <w:szCs w:val="20"/>
        </w:rPr>
      </w:pPr>
      <w:r w:rsidRPr="00162991">
        <w:rPr>
          <w:rFonts w:eastAsia="Calibri" w:cs="Arial"/>
          <w:szCs w:val="20"/>
        </w:rPr>
        <w:t>All stereoisomers, including mixtures of stereoisomers, of the chemical group described in 1A02 should also be declared.</w:t>
      </w:r>
    </w:p>
    <w:p w:rsidR="00515349" w:rsidRDefault="00515349" w:rsidP="00515349">
      <w:pPr>
        <w:jc w:val="both"/>
        <w:rPr>
          <w:rFonts w:eastAsia="Calibri" w:cs="Arial"/>
          <w:b/>
          <w:szCs w:val="20"/>
        </w:rPr>
      </w:pPr>
    </w:p>
    <w:p w:rsidR="00515349" w:rsidRPr="00495739" w:rsidRDefault="00515349" w:rsidP="00515349">
      <w:pPr>
        <w:jc w:val="both"/>
        <w:rPr>
          <w:rFonts w:eastAsia="Calibri" w:cs="Arial"/>
          <w:b/>
          <w:szCs w:val="20"/>
          <w:u w:val="single"/>
        </w:rPr>
      </w:pPr>
      <w:r w:rsidRPr="00495739">
        <w:rPr>
          <w:rFonts w:eastAsia="Calibri" w:cs="Arial"/>
          <w:b/>
          <w:szCs w:val="20"/>
          <w:u w:val="single"/>
        </w:rPr>
        <w:t>Schedule 1A03 – Toxic chemicals</w:t>
      </w:r>
    </w:p>
    <w:p w:rsidR="00515349" w:rsidRPr="00162991" w:rsidRDefault="00515349" w:rsidP="00515349">
      <w:pPr>
        <w:jc w:val="both"/>
        <w:rPr>
          <w:rFonts w:eastAsia="Calibri" w:cs="Arial"/>
          <w:szCs w:val="20"/>
        </w:rPr>
      </w:pPr>
      <w:r w:rsidRPr="00162991">
        <w:rPr>
          <w:rFonts w:eastAsia="Calibri" w:cs="Arial"/>
          <w:szCs w:val="20"/>
        </w:rPr>
        <w:t>In addition to the chemicals which are covered by the generic descriptors of scheduled ‘families’ in 1A03:</w:t>
      </w:r>
    </w:p>
    <w:p w:rsidR="00515349" w:rsidRPr="00162991" w:rsidRDefault="00515349" w:rsidP="00515349">
      <w:pPr>
        <w:numPr>
          <w:ilvl w:val="0"/>
          <w:numId w:val="2"/>
        </w:numPr>
        <w:tabs>
          <w:tab w:val="clear" w:pos="567"/>
          <w:tab w:val="clear" w:pos="1134"/>
          <w:tab w:val="clear" w:pos="1701"/>
          <w:tab w:val="clear" w:pos="5670"/>
          <w:tab w:val="clear" w:pos="9356"/>
        </w:tabs>
        <w:spacing w:after="0"/>
        <w:contextualSpacing/>
        <w:jc w:val="both"/>
        <w:rPr>
          <w:rFonts w:eastAsia="Calibri" w:cs="Arial"/>
          <w:szCs w:val="20"/>
        </w:rPr>
      </w:pPr>
      <w:r w:rsidRPr="00162991">
        <w:rPr>
          <w:rFonts w:eastAsia="Calibri" w:cs="Arial"/>
          <w:szCs w:val="20"/>
        </w:rPr>
        <w:t>Isotopically labelled and radiolabelled analogues of the chemical group described in 1A03 should also be declared.  This includes, but is not limited to, chemicals containing deuterium, carbon-14, sulfur-35 and phosphorus-32.</w:t>
      </w:r>
    </w:p>
    <w:p w:rsidR="00515349" w:rsidRPr="00162991" w:rsidRDefault="00515349" w:rsidP="00515349">
      <w:pPr>
        <w:ind w:left="720"/>
        <w:contextualSpacing/>
        <w:jc w:val="both"/>
        <w:rPr>
          <w:rFonts w:eastAsia="Calibri" w:cs="Arial"/>
          <w:szCs w:val="20"/>
        </w:rPr>
      </w:pPr>
    </w:p>
    <w:p w:rsidR="00515349" w:rsidRPr="00162991" w:rsidRDefault="00515349" w:rsidP="00515349">
      <w:pPr>
        <w:numPr>
          <w:ilvl w:val="0"/>
          <w:numId w:val="2"/>
        </w:numPr>
        <w:tabs>
          <w:tab w:val="clear" w:pos="567"/>
          <w:tab w:val="clear" w:pos="1134"/>
          <w:tab w:val="clear" w:pos="1701"/>
          <w:tab w:val="clear" w:pos="5670"/>
          <w:tab w:val="clear" w:pos="9356"/>
        </w:tabs>
        <w:spacing w:after="0"/>
        <w:contextualSpacing/>
        <w:jc w:val="both"/>
        <w:rPr>
          <w:rFonts w:eastAsia="Calibri" w:cs="Arial"/>
          <w:szCs w:val="20"/>
        </w:rPr>
      </w:pPr>
      <w:r w:rsidRPr="00162991">
        <w:rPr>
          <w:rFonts w:eastAsia="Calibri" w:cs="Arial"/>
          <w:szCs w:val="20"/>
        </w:rPr>
        <w:t>All stereoisomers, including mixtures of stereoisomers, of the chemical group described in 1A03 should also be declared.</w:t>
      </w:r>
    </w:p>
    <w:p w:rsidR="00515349" w:rsidRPr="00162991" w:rsidRDefault="00515349" w:rsidP="00515349">
      <w:pPr>
        <w:jc w:val="both"/>
        <w:rPr>
          <w:rFonts w:eastAsia="Calibri" w:cs="Arial"/>
          <w:b/>
          <w:szCs w:val="20"/>
        </w:rPr>
      </w:pPr>
    </w:p>
    <w:p w:rsidR="00515349" w:rsidRPr="00495739" w:rsidRDefault="00515349" w:rsidP="00515349">
      <w:pPr>
        <w:jc w:val="both"/>
        <w:rPr>
          <w:rFonts w:eastAsia="Calibri" w:cs="Arial"/>
          <w:b/>
          <w:szCs w:val="20"/>
          <w:u w:val="single"/>
        </w:rPr>
      </w:pPr>
      <w:r w:rsidRPr="00495739">
        <w:rPr>
          <w:rFonts w:eastAsia="Calibri" w:cs="Arial"/>
          <w:b/>
          <w:szCs w:val="20"/>
          <w:u w:val="single"/>
        </w:rPr>
        <w:t xml:space="preserve">Schedule 1A04 – </w:t>
      </w:r>
      <w:proofErr w:type="spellStart"/>
      <w:r w:rsidRPr="00495739">
        <w:rPr>
          <w:rFonts w:eastAsia="Calibri" w:cs="Arial"/>
          <w:b/>
          <w:szCs w:val="20"/>
          <w:u w:val="single"/>
        </w:rPr>
        <w:t>Sulfur</w:t>
      </w:r>
      <w:proofErr w:type="spellEnd"/>
      <w:r w:rsidRPr="00495739">
        <w:rPr>
          <w:rFonts w:eastAsia="Calibri" w:cs="Arial"/>
          <w:b/>
          <w:szCs w:val="20"/>
          <w:u w:val="single"/>
        </w:rPr>
        <w:t xml:space="preserve"> mustards</w:t>
      </w:r>
    </w:p>
    <w:p w:rsidR="00515349" w:rsidRPr="00162991" w:rsidRDefault="00515349" w:rsidP="00515349">
      <w:pPr>
        <w:jc w:val="both"/>
        <w:rPr>
          <w:rFonts w:eastAsia="Calibri" w:cs="Arial"/>
          <w:szCs w:val="20"/>
        </w:rPr>
      </w:pPr>
      <w:r w:rsidRPr="00162991">
        <w:rPr>
          <w:rFonts w:eastAsia="Calibri" w:cs="Arial"/>
          <w:szCs w:val="20"/>
        </w:rPr>
        <w:t>In addition to the chemicals which are explicitly listed in 1A04:</w:t>
      </w:r>
    </w:p>
    <w:p w:rsidR="00515349" w:rsidRPr="00162991" w:rsidRDefault="00515349" w:rsidP="00515349">
      <w:pPr>
        <w:numPr>
          <w:ilvl w:val="0"/>
          <w:numId w:val="2"/>
        </w:numPr>
        <w:tabs>
          <w:tab w:val="clear" w:pos="567"/>
          <w:tab w:val="clear" w:pos="1134"/>
          <w:tab w:val="clear" w:pos="1701"/>
          <w:tab w:val="clear" w:pos="5670"/>
          <w:tab w:val="clear" w:pos="9356"/>
        </w:tabs>
        <w:spacing w:after="0"/>
        <w:contextualSpacing/>
        <w:jc w:val="both"/>
        <w:rPr>
          <w:rFonts w:eastAsia="Calibri" w:cs="Arial"/>
          <w:szCs w:val="20"/>
        </w:rPr>
      </w:pPr>
      <w:r w:rsidRPr="00162991">
        <w:rPr>
          <w:rFonts w:eastAsia="Calibri" w:cs="Arial"/>
          <w:szCs w:val="20"/>
        </w:rPr>
        <w:t xml:space="preserve">Isotopically labelled and radiolabelled analogues of the </w:t>
      </w:r>
      <w:proofErr w:type="spellStart"/>
      <w:r w:rsidRPr="00162991">
        <w:rPr>
          <w:rFonts w:eastAsia="Calibri" w:cs="Arial"/>
          <w:szCs w:val="20"/>
        </w:rPr>
        <w:t>sulfur</w:t>
      </w:r>
      <w:proofErr w:type="spellEnd"/>
      <w:r w:rsidRPr="00162991">
        <w:rPr>
          <w:rFonts w:eastAsia="Calibri" w:cs="Arial"/>
          <w:szCs w:val="20"/>
        </w:rPr>
        <w:t xml:space="preserve"> mustards described in 1A04 should also be declared.  This includes, but is not limited to, chemicals containing deuterium, carbon-14, and sulfur-35.</w:t>
      </w:r>
    </w:p>
    <w:p w:rsidR="00515349" w:rsidRPr="00162991" w:rsidRDefault="00515349" w:rsidP="00515349">
      <w:pPr>
        <w:jc w:val="both"/>
        <w:rPr>
          <w:rFonts w:eastAsia="Calibri" w:cs="Arial"/>
          <w:szCs w:val="20"/>
        </w:rPr>
      </w:pPr>
    </w:p>
    <w:p w:rsidR="00515349" w:rsidRPr="00495739" w:rsidRDefault="00515349" w:rsidP="00515349">
      <w:pPr>
        <w:jc w:val="both"/>
        <w:rPr>
          <w:rFonts w:eastAsia="Calibri" w:cs="Arial"/>
          <w:b/>
          <w:szCs w:val="20"/>
          <w:u w:val="single"/>
        </w:rPr>
      </w:pPr>
      <w:r w:rsidRPr="00495739">
        <w:rPr>
          <w:rFonts w:eastAsia="Calibri" w:cs="Arial"/>
          <w:b/>
          <w:szCs w:val="20"/>
          <w:u w:val="single"/>
        </w:rPr>
        <w:t xml:space="preserve">Schedule 1A05 – </w:t>
      </w:r>
      <w:proofErr w:type="spellStart"/>
      <w:r w:rsidRPr="00495739">
        <w:rPr>
          <w:rFonts w:eastAsia="Calibri" w:cs="Arial"/>
          <w:b/>
          <w:szCs w:val="20"/>
          <w:u w:val="single"/>
        </w:rPr>
        <w:t>Lewisites</w:t>
      </w:r>
      <w:proofErr w:type="spellEnd"/>
    </w:p>
    <w:p w:rsidR="00515349" w:rsidRPr="00162991" w:rsidRDefault="00515349" w:rsidP="00515349">
      <w:pPr>
        <w:jc w:val="both"/>
        <w:rPr>
          <w:rFonts w:eastAsia="Calibri" w:cs="Arial"/>
          <w:szCs w:val="20"/>
        </w:rPr>
      </w:pPr>
      <w:r w:rsidRPr="00162991">
        <w:rPr>
          <w:rFonts w:eastAsia="Calibri" w:cs="Arial"/>
          <w:szCs w:val="20"/>
        </w:rPr>
        <w:t>In addition to the chemicals which are explicitly listed in 1A05:</w:t>
      </w:r>
    </w:p>
    <w:p w:rsidR="00515349" w:rsidRPr="00162991" w:rsidRDefault="00515349" w:rsidP="00515349">
      <w:pPr>
        <w:numPr>
          <w:ilvl w:val="0"/>
          <w:numId w:val="3"/>
        </w:numPr>
        <w:tabs>
          <w:tab w:val="clear" w:pos="567"/>
          <w:tab w:val="clear" w:pos="1134"/>
          <w:tab w:val="clear" w:pos="1701"/>
          <w:tab w:val="clear" w:pos="5670"/>
          <w:tab w:val="clear" w:pos="9356"/>
        </w:tabs>
        <w:spacing w:after="0"/>
        <w:contextualSpacing/>
        <w:jc w:val="both"/>
        <w:rPr>
          <w:rFonts w:eastAsia="Calibri" w:cs="Arial"/>
          <w:szCs w:val="20"/>
        </w:rPr>
      </w:pPr>
      <w:r w:rsidRPr="00162991">
        <w:rPr>
          <w:rFonts w:eastAsia="Calibri" w:cs="Arial"/>
          <w:szCs w:val="20"/>
        </w:rPr>
        <w:t xml:space="preserve">Isotopically labelled and radiolabelled analogues of the </w:t>
      </w:r>
      <w:proofErr w:type="spellStart"/>
      <w:r w:rsidRPr="00162991">
        <w:rPr>
          <w:rFonts w:eastAsia="Calibri" w:cs="Arial"/>
          <w:szCs w:val="20"/>
        </w:rPr>
        <w:t>Lewisites</w:t>
      </w:r>
      <w:proofErr w:type="spellEnd"/>
      <w:r w:rsidRPr="00162991">
        <w:rPr>
          <w:rFonts w:eastAsia="Calibri" w:cs="Arial"/>
          <w:szCs w:val="20"/>
        </w:rPr>
        <w:t xml:space="preserve"> in 1A05 should be declared.  This includes, but is not limited to, analogues containing deuterium and carbon-14.</w:t>
      </w:r>
    </w:p>
    <w:p w:rsidR="00515349" w:rsidRPr="00162991" w:rsidRDefault="00515349" w:rsidP="00515349">
      <w:pPr>
        <w:ind w:left="720"/>
        <w:contextualSpacing/>
        <w:jc w:val="both"/>
        <w:rPr>
          <w:rFonts w:eastAsia="Calibri" w:cs="Arial"/>
          <w:szCs w:val="20"/>
        </w:rPr>
      </w:pPr>
    </w:p>
    <w:p w:rsidR="00515349" w:rsidRPr="00162991" w:rsidRDefault="00515349" w:rsidP="00515349">
      <w:pPr>
        <w:numPr>
          <w:ilvl w:val="0"/>
          <w:numId w:val="3"/>
        </w:numPr>
        <w:tabs>
          <w:tab w:val="clear" w:pos="567"/>
          <w:tab w:val="clear" w:pos="1134"/>
          <w:tab w:val="clear" w:pos="1701"/>
          <w:tab w:val="clear" w:pos="5670"/>
          <w:tab w:val="clear" w:pos="9356"/>
        </w:tabs>
        <w:spacing w:after="0"/>
        <w:contextualSpacing/>
        <w:jc w:val="both"/>
        <w:rPr>
          <w:rFonts w:eastAsia="Calibri" w:cs="Arial"/>
          <w:szCs w:val="20"/>
        </w:rPr>
      </w:pPr>
      <w:r w:rsidRPr="00162991">
        <w:rPr>
          <w:rFonts w:eastAsia="Calibri" w:cs="Arial"/>
          <w:szCs w:val="20"/>
        </w:rPr>
        <w:t xml:space="preserve">Any geometric isomers of the </w:t>
      </w:r>
      <w:proofErr w:type="spellStart"/>
      <w:r w:rsidRPr="00162991">
        <w:rPr>
          <w:rFonts w:eastAsia="Calibri" w:cs="Arial"/>
          <w:szCs w:val="20"/>
        </w:rPr>
        <w:t>Lewisites</w:t>
      </w:r>
      <w:proofErr w:type="spellEnd"/>
      <w:r w:rsidRPr="00162991">
        <w:rPr>
          <w:rFonts w:eastAsia="Calibri" w:cs="Arial"/>
          <w:szCs w:val="20"/>
        </w:rPr>
        <w:t xml:space="preserve"> should also be declared.</w:t>
      </w:r>
    </w:p>
    <w:p w:rsidR="00515349" w:rsidRPr="00162991" w:rsidRDefault="00515349" w:rsidP="00515349">
      <w:pPr>
        <w:jc w:val="both"/>
        <w:rPr>
          <w:rFonts w:eastAsia="Calibri" w:cs="Arial"/>
          <w:szCs w:val="20"/>
        </w:rPr>
      </w:pPr>
    </w:p>
    <w:p w:rsidR="00515349" w:rsidRPr="00495739" w:rsidRDefault="00515349" w:rsidP="00515349">
      <w:pPr>
        <w:jc w:val="both"/>
        <w:rPr>
          <w:rFonts w:eastAsia="Calibri" w:cs="Arial"/>
          <w:b/>
          <w:szCs w:val="20"/>
          <w:u w:val="single"/>
        </w:rPr>
      </w:pPr>
      <w:r w:rsidRPr="00495739">
        <w:rPr>
          <w:rFonts w:eastAsia="Calibri" w:cs="Arial"/>
          <w:b/>
          <w:szCs w:val="20"/>
          <w:u w:val="single"/>
        </w:rPr>
        <w:lastRenderedPageBreak/>
        <w:t>Schedule 1A06 – Nitrogen mustards</w:t>
      </w:r>
    </w:p>
    <w:p w:rsidR="00515349" w:rsidRPr="00495739" w:rsidRDefault="00515349" w:rsidP="00515349">
      <w:pPr>
        <w:jc w:val="both"/>
        <w:rPr>
          <w:rFonts w:eastAsia="Calibri" w:cs="Arial"/>
          <w:szCs w:val="20"/>
        </w:rPr>
      </w:pPr>
      <w:r w:rsidRPr="00495739">
        <w:rPr>
          <w:rFonts w:eastAsia="Calibri" w:cs="Arial"/>
          <w:szCs w:val="20"/>
        </w:rPr>
        <w:t>In addition to the chemicals which are explicitly listed in 1A06:</w:t>
      </w:r>
    </w:p>
    <w:p w:rsidR="00515349" w:rsidRPr="00495739" w:rsidRDefault="00515349" w:rsidP="00515349">
      <w:pPr>
        <w:numPr>
          <w:ilvl w:val="0"/>
          <w:numId w:val="3"/>
        </w:numPr>
        <w:tabs>
          <w:tab w:val="clear" w:pos="567"/>
          <w:tab w:val="clear" w:pos="1134"/>
          <w:tab w:val="clear" w:pos="1701"/>
          <w:tab w:val="clear" w:pos="5670"/>
          <w:tab w:val="clear" w:pos="9356"/>
        </w:tabs>
        <w:spacing w:after="0"/>
        <w:contextualSpacing/>
        <w:jc w:val="both"/>
        <w:rPr>
          <w:rFonts w:eastAsia="Calibri" w:cs="Arial"/>
          <w:szCs w:val="20"/>
        </w:rPr>
      </w:pPr>
      <w:r w:rsidRPr="00495739">
        <w:rPr>
          <w:rFonts w:eastAsia="Calibri" w:cs="Arial"/>
          <w:szCs w:val="20"/>
        </w:rPr>
        <w:t xml:space="preserve">The corresponding salts of the nitrogen mustards in Schedule 1A06 should be declared.  This includes, but is not limited to, hydrochloride, hydrobromide, hydroiodide, </w:t>
      </w:r>
      <w:proofErr w:type="spellStart"/>
      <w:r w:rsidRPr="00495739">
        <w:rPr>
          <w:rFonts w:eastAsia="Calibri" w:cs="Arial"/>
          <w:szCs w:val="20"/>
        </w:rPr>
        <w:t>sulfate</w:t>
      </w:r>
      <w:proofErr w:type="spellEnd"/>
      <w:r w:rsidRPr="00495739">
        <w:rPr>
          <w:rFonts w:eastAsia="Calibri" w:cs="Arial"/>
          <w:szCs w:val="20"/>
        </w:rPr>
        <w:t xml:space="preserve"> and nitrate salts.</w:t>
      </w:r>
    </w:p>
    <w:p w:rsidR="00515349" w:rsidRPr="00495739" w:rsidRDefault="00515349" w:rsidP="00515349">
      <w:pPr>
        <w:ind w:left="720"/>
        <w:contextualSpacing/>
        <w:jc w:val="both"/>
        <w:rPr>
          <w:rFonts w:eastAsia="Calibri" w:cs="Arial"/>
          <w:szCs w:val="20"/>
        </w:rPr>
      </w:pPr>
      <w:r w:rsidRPr="00495739">
        <w:rPr>
          <w:rFonts w:eastAsia="Calibri" w:cs="Arial"/>
          <w:szCs w:val="20"/>
        </w:rPr>
        <w:t xml:space="preserve"> </w:t>
      </w:r>
    </w:p>
    <w:p w:rsidR="00515349" w:rsidRPr="00495739" w:rsidRDefault="00515349" w:rsidP="00515349">
      <w:pPr>
        <w:numPr>
          <w:ilvl w:val="0"/>
          <w:numId w:val="3"/>
        </w:numPr>
        <w:tabs>
          <w:tab w:val="clear" w:pos="567"/>
          <w:tab w:val="clear" w:pos="1134"/>
          <w:tab w:val="clear" w:pos="1701"/>
          <w:tab w:val="clear" w:pos="5670"/>
          <w:tab w:val="clear" w:pos="9356"/>
        </w:tabs>
        <w:spacing w:after="0"/>
        <w:contextualSpacing/>
        <w:jc w:val="both"/>
        <w:rPr>
          <w:rFonts w:eastAsia="Calibri" w:cs="Arial"/>
          <w:szCs w:val="20"/>
        </w:rPr>
      </w:pPr>
      <w:r w:rsidRPr="00495739">
        <w:rPr>
          <w:rFonts w:eastAsia="Calibri" w:cs="Arial"/>
          <w:szCs w:val="20"/>
        </w:rPr>
        <w:t>Isotopically labelled and radiolabelled analogues of the nitrogen mustards and their corresponding salts should also be declared.  This includes, but is not limited to, analogues containing deuterium, carbon-14 and carbon-13.</w:t>
      </w:r>
    </w:p>
    <w:p w:rsidR="00515349" w:rsidRPr="00495739" w:rsidRDefault="00515349" w:rsidP="00515349">
      <w:pPr>
        <w:contextualSpacing/>
        <w:jc w:val="both"/>
        <w:rPr>
          <w:rFonts w:eastAsia="Calibri" w:cs="Arial"/>
          <w:szCs w:val="20"/>
        </w:rPr>
      </w:pPr>
    </w:p>
    <w:p w:rsidR="00515349" w:rsidRDefault="00515349" w:rsidP="00515349">
      <w:pPr>
        <w:jc w:val="both"/>
        <w:rPr>
          <w:rFonts w:eastAsia="Calibri" w:cs="Arial"/>
          <w:szCs w:val="20"/>
        </w:rPr>
      </w:pPr>
      <w:r>
        <w:rPr>
          <w:rFonts w:eastAsia="Calibri" w:cs="Arial"/>
          <w:szCs w:val="20"/>
        </w:rPr>
        <w:t>BEIS</w:t>
      </w:r>
      <w:r w:rsidRPr="00495739">
        <w:rPr>
          <w:rFonts w:eastAsia="Calibri" w:cs="Arial"/>
          <w:szCs w:val="20"/>
        </w:rPr>
        <w:t xml:space="preserve"> are aware that nitrogen mustard HN2 salt has been and can be used as a cancer treatment, and will consider how such legitimate uses of the chemical might best be dealt with by the licensing regime, including by means of a licencing exemption.</w:t>
      </w:r>
    </w:p>
    <w:p w:rsidR="00515349" w:rsidRDefault="00515349" w:rsidP="00515349">
      <w:pPr>
        <w:jc w:val="both"/>
        <w:rPr>
          <w:rFonts w:eastAsia="Calibri" w:cs="Arial"/>
          <w:szCs w:val="20"/>
        </w:rPr>
      </w:pPr>
    </w:p>
    <w:p w:rsidR="00515349" w:rsidRPr="00495739" w:rsidRDefault="00515349" w:rsidP="00515349">
      <w:pPr>
        <w:jc w:val="both"/>
        <w:rPr>
          <w:rFonts w:eastAsia="Calibri" w:cs="Arial"/>
          <w:b/>
          <w:szCs w:val="20"/>
          <w:u w:val="single"/>
        </w:rPr>
      </w:pPr>
      <w:r w:rsidRPr="00495739">
        <w:rPr>
          <w:rFonts w:eastAsia="Calibri" w:cs="Arial"/>
          <w:b/>
          <w:szCs w:val="20"/>
          <w:u w:val="single"/>
        </w:rPr>
        <w:t>Schedule 1A07 – Saxitoxin</w:t>
      </w:r>
    </w:p>
    <w:p w:rsidR="00515349" w:rsidRPr="00162991" w:rsidRDefault="00515349" w:rsidP="00515349">
      <w:pPr>
        <w:jc w:val="both"/>
        <w:rPr>
          <w:rFonts w:eastAsia="Calibri" w:cs="Arial"/>
          <w:szCs w:val="20"/>
        </w:rPr>
      </w:pPr>
      <w:r w:rsidRPr="00162991">
        <w:rPr>
          <w:rFonts w:eastAsia="Calibri" w:cs="Arial"/>
          <w:szCs w:val="20"/>
        </w:rPr>
        <w:t>In addition to the single chemical which is explicitly listed in 1A07:</w:t>
      </w:r>
    </w:p>
    <w:p w:rsidR="00515349" w:rsidRDefault="00515349" w:rsidP="00515349">
      <w:pPr>
        <w:numPr>
          <w:ilvl w:val="0"/>
          <w:numId w:val="4"/>
        </w:numPr>
        <w:tabs>
          <w:tab w:val="clear" w:pos="567"/>
          <w:tab w:val="clear" w:pos="1134"/>
          <w:tab w:val="clear" w:pos="1701"/>
          <w:tab w:val="clear" w:pos="5670"/>
          <w:tab w:val="clear" w:pos="9356"/>
        </w:tabs>
        <w:spacing w:after="0"/>
        <w:contextualSpacing/>
        <w:jc w:val="both"/>
        <w:rPr>
          <w:rFonts w:eastAsia="Calibri" w:cs="Arial"/>
          <w:szCs w:val="20"/>
        </w:rPr>
      </w:pPr>
      <w:r w:rsidRPr="00162991">
        <w:rPr>
          <w:rFonts w:eastAsia="Calibri" w:cs="Arial"/>
          <w:szCs w:val="20"/>
        </w:rPr>
        <w:t>All salts of saxitoxin should be covered under Schedule 1A07.  This includes, but is not limited to, the dihydrochloride and diacetate salts.</w:t>
      </w:r>
    </w:p>
    <w:p w:rsidR="00515349" w:rsidRPr="00162991" w:rsidRDefault="00515349" w:rsidP="00515349">
      <w:pPr>
        <w:contextualSpacing/>
        <w:jc w:val="both"/>
        <w:rPr>
          <w:rFonts w:eastAsia="Calibri" w:cs="Arial"/>
          <w:szCs w:val="20"/>
        </w:rPr>
      </w:pPr>
    </w:p>
    <w:p w:rsidR="00515349" w:rsidRPr="00162991" w:rsidRDefault="00515349" w:rsidP="00515349">
      <w:pPr>
        <w:numPr>
          <w:ilvl w:val="0"/>
          <w:numId w:val="4"/>
        </w:numPr>
        <w:tabs>
          <w:tab w:val="clear" w:pos="567"/>
          <w:tab w:val="clear" w:pos="1134"/>
          <w:tab w:val="clear" w:pos="1701"/>
          <w:tab w:val="clear" w:pos="5670"/>
          <w:tab w:val="clear" w:pos="9356"/>
        </w:tabs>
        <w:spacing w:after="0"/>
        <w:contextualSpacing/>
        <w:jc w:val="both"/>
        <w:rPr>
          <w:rFonts w:eastAsia="Calibri" w:cs="Arial"/>
          <w:szCs w:val="20"/>
        </w:rPr>
      </w:pPr>
      <w:r w:rsidRPr="00162991">
        <w:rPr>
          <w:rFonts w:eastAsia="Calibri" w:cs="Arial"/>
          <w:szCs w:val="20"/>
        </w:rPr>
        <w:t>All stereoisomers of saxitoxin (both the free base and its salts) should be covered under Schedule 1A07.</w:t>
      </w:r>
    </w:p>
    <w:p w:rsidR="00515349" w:rsidRPr="00162991" w:rsidRDefault="00515349" w:rsidP="00515349">
      <w:pPr>
        <w:ind w:left="720"/>
        <w:contextualSpacing/>
        <w:jc w:val="both"/>
        <w:rPr>
          <w:rFonts w:eastAsia="Calibri" w:cs="Arial"/>
          <w:szCs w:val="20"/>
        </w:rPr>
      </w:pPr>
    </w:p>
    <w:p w:rsidR="00515349" w:rsidRPr="00162991" w:rsidRDefault="00515349" w:rsidP="00515349">
      <w:pPr>
        <w:numPr>
          <w:ilvl w:val="0"/>
          <w:numId w:val="3"/>
        </w:numPr>
        <w:tabs>
          <w:tab w:val="clear" w:pos="567"/>
          <w:tab w:val="clear" w:pos="1134"/>
          <w:tab w:val="clear" w:pos="1701"/>
          <w:tab w:val="clear" w:pos="5670"/>
          <w:tab w:val="clear" w:pos="9356"/>
        </w:tabs>
        <w:spacing w:after="0"/>
        <w:contextualSpacing/>
        <w:jc w:val="both"/>
        <w:rPr>
          <w:rFonts w:eastAsia="Calibri" w:cs="Arial"/>
          <w:szCs w:val="20"/>
        </w:rPr>
      </w:pPr>
      <w:r w:rsidRPr="00162991">
        <w:rPr>
          <w:rFonts w:eastAsia="Calibri" w:cs="Arial"/>
          <w:szCs w:val="20"/>
        </w:rPr>
        <w:t>Isotopically labelled and radiolabelled analogues of all optical isomers of saxitoxin and its corresponding salts should also be declared.  This includes, but is not limited to, analogues containing deuterium, tritium and carbon-14.</w:t>
      </w:r>
    </w:p>
    <w:p w:rsidR="00515349" w:rsidRPr="00162991" w:rsidRDefault="00515349" w:rsidP="00515349">
      <w:pPr>
        <w:ind w:left="720"/>
        <w:contextualSpacing/>
        <w:jc w:val="both"/>
        <w:rPr>
          <w:rFonts w:eastAsia="Calibri" w:cs="Arial"/>
          <w:szCs w:val="20"/>
        </w:rPr>
      </w:pPr>
    </w:p>
    <w:p w:rsidR="00515349" w:rsidRDefault="00515349" w:rsidP="00515349">
      <w:pPr>
        <w:jc w:val="both"/>
        <w:rPr>
          <w:rFonts w:eastAsia="Calibri" w:cs="Arial"/>
          <w:szCs w:val="20"/>
        </w:rPr>
      </w:pPr>
      <w:r>
        <w:rPr>
          <w:rFonts w:eastAsia="Calibri" w:cs="Arial"/>
          <w:szCs w:val="20"/>
        </w:rPr>
        <w:t>BEIS</w:t>
      </w:r>
      <w:r w:rsidRPr="00162991">
        <w:rPr>
          <w:rFonts w:eastAsia="Calibri" w:cs="Arial"/>
          <w:szCs w:val="20"/>
        </w:rPr>
        <w:t xml:space="preserve"> are aware that the most common salts are the dihydrochloride and diacetate salts, which are found in the diagnostic kits for paralytic shellfish poisoning</w:t>
      </w:r>
      <w:r>
        <w:rPr>
          <w:rFonts w:eastAsia="Calibri" w:cs="Arial"/>
          <w:szCs w:val="20"/>
        </w:rPr>
        <w:t>, and will consider how such legitimate uses of the chemical might best be dealt with by the licensing regime, including by means of a licencing exemption.</w:t>
      </w:r>
    </w:p>
    <w:p w:rsidR="00515349" w:rsidRPr="00414E72" w:rsidRDefault="00515349" w:rsidP="00515349">
      <w:pPr>
        <w:jc w:val="both"/>
        <w:rPr>
          <w:rFonts w:eastAsia="Calibri" w:cs="Arial"/>
          <w:szCs w:val="20"/>
        </w:rPr>
      </w:pPr>
    </w:p>
    <w:p w:rsidR="00515349" w:rsidRPr="00495739" w:rsidRDefault="00515349" w:rsidP="00515349">
      <w:pPr>
        <w:jc w:val="both"/>
        <w:rPr>
          <w:rFonts w:eastAsia="Calibri" w:cs="Arial"/>
          <w:szCs w:val="20"/>
          <w:u w:val="single"/>
        </w:rPr>
      </w:pPr>
      <w:r w:rsidRPr="00495739">
        <w:rPr>
          <w:rFonts w:eastAsia="Calibri" w:cs="Arial"/>
          <w:b/>
          <w:szCs w:val="20"/>
          <w:u w:val="single"/>
        </w:rPr>
        <w:t>Schedule 1A08 – Ricin</w:t>
      </w:r>
    </w:p>
    <w:p w:rsidR="00515349" w:rsidRPr="00414E72" w:rsidRDefault="00515349" w:rsidP="00515349">
      <w:pPr>
        <w:jc w:val="both"/>
        <w:rPr>
          <w:rFonts w:eastAsia="Calibri" w:cs="Arial"/>
          <w:szCs w:val="20"/>
        </w:rPr>
      </w:pPr>
      <w:r w:rsidRPr="00414E72">
        <w:rPr>
          <w:rFonts w:eastAsia="Calibri" w:cs="Arial"/>
          <w:szCs w:val="20"/>
        </w:rPr>
        <w:t>The following should be covered by the ricin descriptor in Schedule 1A08:</w:t>
      </w:r>
    </w:p>
    <w:p w:rsidR="00515349" w:rsidRDefault="00515349" w:rsidP="00515349">
      <w:pPr>
        <w:numPr>
          <w:ilvl w:val="0"/>
          <w:numId w:val="3"/>
        </w:numPr>
        <w:tabs>
          <w:tab w:val="clear" w:pos="567"/>
          <w:tab w:val="clear" w:pos="1134"/>
          <w:tab w:val="clear" w:pos="1701"/>
          <w:tab w:val="clear" w:pos="5670"/>
          <w:tab w:val="clear" w:pos="9356"/>
        </w:tabs>
        <w:spacing w:after="0"/>
        <w:contextualSpacing/>
        <w:jc w:val="both"/>
        <w:rPr>
          <w:rFonts w:eastAsia="Calibri" w:cs="Arial"/>
          <w:szCs w:val="20"/>
        </w:rPr>
      </w:pPr>
      <w:r w:rsidRPr="00414E72">
        <w:rPr>
          <w:rFonts w:eastAsia="Calibri" w:cs="Arial"/>
          <w:szCs w:val="20"/>
        </w:rPr>
        <w:t xml:space="preserve">All forms of ricin originating from </w:t>
      </w:r>
      <w:r w:rsidRPr="00414E72">
        <w:rPr>
          <w:rFonts w:eastAsia="Calibri" w:cs="Arial"/>
          <w:i/>
          <w:szCs w:val="20"/>
        </w:rPr>
        <w:t xml:space="preserve">Ricinus </w:t>
      </w:r>
      <w:proofErr w:type="spellStart"/>
      <w:r w:rsidRPr="00414E72">
        <w:rPr>
          <w:rFonts w:eastAsia="Calibri" w:cs="Arial"/>
          <w:i/>
          <w:szCs w:val="20"/>
        </w:rPr>
        <w:t>communis</w:t>
      </w:r>
      <w:proofErr w:type="spellEnd"/>
      <w:r w:rsidRPr="00414E72">
        <w:rPr>
          <w:rFonts w:eastAsia="Calibri" w:cs="Arial"/>
          <w:szCs w:val="20"/>
        </w:rPr>
        <w:t xml:space="preserve">, including any variations in the structure of the molecule arising from natural processes, or man-made modification designed to maintain or enhance toxicity.  This includes isotopically labelled and radiolabelled ricin.  The A- and B-chain sub-units of the toxin must be linked only by a </w:t>
      </w:r>
      <w:proofErr w:type="spellStart"/>
      <w:r w:rsidRPr="00414E72">
        <w:rPr>
          <w:rFonts w:eastAsia="Calibri" w:cs="Arial"/>
          <w:szCs w:val="20"/>
        </w:rPr>
        <w:t>disulfide</w:t>
      </w:r>
      <w:proofErr w:type="spellEnd"/>
      <w:r w:rsidRPr="00414E72">
        <w:rPr>
          <w:rFonts w:eastAsia="Calibri" w:cs="Arial"/>
          <w:szCs w:val="20"/>
        </w:rPr>
        <w:t xml:space="preserve"> bond for the molecule to be considered ricin.</w:t>
      </w:r>
    </w:p>
    <w:p w:rsidR="00515349" w:rsidRPr="00414E72" w:rsidRDefault="00515349" w:rsidP="00515349">
      <w:pPr>
        <w:contextualSpacing/>
        <w:jc w:val="both"/>
        <w:rPr>
          <w:rFonts w:eastAsia="Calibri" w:cs="Arial"/>
          <w:szCs w:val="20"/>
        </w:rPr>
      </w:pPr>
    </w:p>
    <w:p w:rsidR="00515349" w:rsidRPr="00414E72" w:rsidRDefault="00515349" w:rsidP="00515349">
      <w:pPr>
        <w:ind w:left="360" w:hanging="360"/>
        <w:jc w:val="both"/>
        <w:rPr>
          <w:rFonts w:eastAsia="Calibri" w:cs="Arial"/>
          <w:szCs w:val="20"/>
        </w:rPr>
      </w:pPr>
      <w:r>
        <w:rPr>
          <w:rFonts w:eastAsia="Calibri" w:cs="Arial"/>
          <w:szCs w:val="20"/>
        </w:rPr>
        <w:t>In addition:</w:t>
      </w:r>
    </w:p>
    <w:p w:rsidR="00515349" w:rsidRPr="00414E72" w:rsidRDefault="00515349" w:rsidP="00515349">
      <w:pPr>
        <w:numPr>
          <w:ilvl w:val="0"/>
          <w:numId w:val="3"/>
        </w:numPr>
        <w:tabs>
          <w:tab w:val="clear" w:pos="567"/>
          <w:tab w:val="clear" w:pos="1134"/>
          <w:tab w:val="clear" w:pos="1701"/>
          <w:tab w:val="clear" w:pos="5670"/>
          <w:tab w:val="clear" w:pos="9356"/>
        </w:tabs>
        <w:spacing w:after="0"/>
        <w:contextualSpacing/>
        <w:jc w:val="both"/>
        <w:rPr>
          <w:rFonts w:eastAsia="Calibri" w:cs="Arial"/>
          <w:szCs w:val="20"/>
        </w:rPr>
      </w:pPr>
      <w:r w:rsidRPr="00414E72">
        <w:rPr>
          <w:rFonts w:eastAsia="Calibri" w:cs="Arial"/>
          <w:szCs w:val="20"/>
        </w:rPr>
        <w:t xml:space="preserve">All ricin toxoids, hybrids and ricin A- and B-chains (both naturally occurring and recombinant), including any variations in the structure of the molecules arising from natural processes, or man-made modification designed to maintain or enhance toxicity.  </w:t>
      </w:r>
      <w:r w:rsidRPr="00414E72">
        <w:rPr>
          <w:rFonts w:eastAsia="Calibri" w:cs="Arial"/>
          <w:szCs w:val="20"/>
        </w:rPr>
        <w:lastRenderedPageBreak/>
        <w:t>This includes any isotopically labelled and radiolabelled analogues and toxoided ricin hybrids.</w:t>
      </w:r>
    </w:p>
    <w:p w:rsidR="00515349" w:rsidRDefault="00515349" w:rsidP="00515349">
      <w:pPr>
        <w:jc w:val="both"/>
        <w:rPr>
          <w:rFonts w:eastAsia="Calibri" w:cs="Arial"/>
          <w:szCs w:val="20"/>
        </w:rPr>
      </w:pPr>
    </w:p>
    <w:p w:rsidR="00515349" w:rsidRDefault="00515349" w:rsidP="00515349">
      <w:pPr>
        <w:jc w:val="both"/>
        <w:rPr>
          <w:rFonts w:eastAsia="Calibri" w:cs="Arial"/>
          <w:szCs w:val="20"/>
        </w:rPr>
      </w:pPr>
    </w:p>
    <w:p w:rsidR="00515349" w:rsidRPr="00414E72" w:rsidRDefault="00515349" w:rsidP="00515349">
      <w:pPr>
        <w:jc w:val="both"/>
        <w:rPr>
          <w:rFonts w:eastAsia="Calibri" w:cs="Arial"/>
          <w:szCs w:val="20"/>
        </w:rPr>
      </w:pPr>
    </w:p>
    <w:p w:rsidR="00515349" w:rsidRPr="00495739" w:rsidRDefault="00515349" w:rsidP="00515349">
      <w:pPr>
        <w:jc w:val="both"/>
        <w:rPr>
          <w:rFonts w:eastAsia="Calibri" w:cs="Arial"/>
          <w:b/>
          <w:szCs w:val="20"/>
          <w:u w:val="single"/>
        </w:rPr>
      </w:pPr>
      <w:r w:rsidRPr="00495739">
        <w:rPr>
          <w:rFonts w:eastAsia="Calibri" w:cs="Arial"/>
          <w:b/>
          <w:szCs w:val="20"/>
          <w:u w:val="single"/>
        </w:rPr>
        <w:t>Schedule 1B09 – Alkyl (Me, Et, n-</w:t>
      </w:r>
      <w:proofErr w:type="spellStart"/>
      <w:r w:rsidRPr="00495739">
        <w:rPr>
          <w:rFonts w:eastAsia="Calibri" w:cs="Arial"/>
          <w:b/>
          <w:szCs w:val="20"/>
          <w:u w:val="single"/>
        </w:rPr>
        <w:t>Pr</w:t>
      </w:r>
      <w:proofErr w:type="spellEnd"/>
      <w:r w:rsidRPr="00495739">
        <w:rPr>
          <w:rFonts w:eastAsia="Calibri" w:cs="Arial"/>
          <w:b/>
          <w:szCs w:val="20"/>
          <w:u w:val="single"/>
        </w:rPr>
        <w:t xml:space="preserve"> or </w:t>
      </w:r>
      <w:proofErr w:type="spellStart"/>
      <w:r w:rsidRPr="00495739">
        <w:rPr>
          <w:rFonts w:eastAsia="Calibri" w:cs="Arial"/>
          <w:b/>
          <w:szCs w:val="20"/>
          <w:u w:val="single"/>
        </w:rPr>
        <w:t>i-Pr</w:t>
      </w:r>
      <w:proofErr w:type="spellEnd"/>
      <w:r w:rsidRPr="00495739">
        <w:rPr>
          <w:rFonts w:eastAsia="Calibri" w:cs="Arial"/>
          <w:b/>
          <w:szCs w:val="20"/>
          <w:u w:val="single"/>
        </w:rPr>
        <w:t xml:space="preserve">) </w:t>
      </w:r>
      <w:proofErr w:type="spellStart"/>
      <w:r w:rsidRPr="00495739">
        <w:rPr>
          <w:rFonts w:eastAsia="Calibri" w:cs="Arial"/>
          <w:b/>
          <w:szCs w:val="20"/>
          <w:u w:val="single"/>
        </w:rPr>
        <w:t>phosphonyldifluorides</w:t>
      </w:r>
      <w:proofErr w:type="spellEnd"/>
    </w:p>
    <w:p w:rsidR="00515349" w:rsidRPr="00162991" w:rsidRDefault="00515349" w:rsidP="00515349">
      <w:pPr>
        <w:jc w:val="both"/>
        <w:rPr>
          <w:rFonts w:eastAsia="Calibri" w:cs="Arial"/>
          <w:szCs w:val="20"/>
        </w:rPr>
      </w:pPr>
      <w:r w:rsidRPr="00162991">
        <w:rPr>
          <w:rFonts w:eastAsia="Calibri" w:cs="Arial"/>
          <w:szCs w:val="20"/>
        </w:rPr>
        <w:t>In addition to the chemicals which are covered by the generic descriptors of scheduled ‘families’ in 1B09:</w:t>
      </w:r>
    </w:p>
    <w:p w:rsidR="00515349" w:rsidRPr="00162991" w:rsidRDefault="00515349" w:rsidP="00515349">
      <w:pPr>
        <w:numPr>
          <w:ilvl w:val="0"/>
          <w:numId w:val="3"/>
        </w:numPr>
        <w:tabs>
          <w:tab w:val="clear" w:pos="567"/>
          <w:tab w:val="clear" w:pos="1134"/>
          <w:tab w:val="clear" w:pos="1701"/>
          <w:tab w:val="clear" w:pos="5670"/>
          <w:tab w:val="clear" w:pos="9356"/>
        </w:tabs>
        <w:spacing w:after="0"/>
        <w:contextualSpacing/>
        <w:jc w:val="both"/>
        <w:rPr>
          <w:rFonts w:eastAsia="Calibri" w:cs="Arial"/>
          <w:szCs w:val="20"/>
        </w:rPr>
      </w:pPr>
      <w:r w:rsidRPr="00162991">
        <w:rPr>
          <w:rFonts w:eastAsia="Calibri" w:cs="Arial"/>
          <w:szCs w:val="20"/>
        </w:rPr>
        <w:t>Isotopically labelled and radiolabelled analogues of the chemical group described in 1B09 should be declared.  This includes, but is not limited to, analogues containing deuterium, carbon-14, oxygen-18 and phosphorus-32.</w:t>
      </w:r>
    </w:p>
    <w:p w:rsidR="00515349" w:rsidRDefault="00515349" w:rsidP="00515349">
      <w:pPr>
        <w:jc w:val="both"/>
        <w:rPr>
          <w:rFonts w:eastAsia="Calibri" w:cs="Arial"/>
          <w:szCs w:val="20"/>
        </w:rPr>
      </w:pPr>
    </w:p>
    <w:p w:rsidR="00515349" w:rsidRPr="00162991" w:rsidRDefault="00515349" w:rsidP="00515349">
      <w:pPr>
        <w:jc w:val="both"/>
        <w:rPr>
          <w:rFonts w:eastAsia="Calibri" w:cs="Arial"/>
          <w:szCs w:val="20"/>
        </w:rPr>
      </w:pPr>
    </w:p>
    <w:p w:rsidR="00515349" w:rsidRPr="00495739" w:rsidRDefault="00515349" w:rsidP="00515349">
      <w:pPr>
        <w:jc w:val="both"/>
        <w:rPr>
          <w:rFonts w:eastAsia="Calibri" w:cs="Arial"/>
          <w:b/>
          <w:szCs w:val="20"/>
          <w:u w:val="single"/>
        </w:rPr>
      </w:pPr>
      <w:r w:rsidRPr="00495739">
        <w:rPr>
          <w:rFonts w:eastAsia="Calibri" w:cs="Arial"/>
          <w:b/>
          <w:szCs w:val="20"/>
          <w:u w:val="single"/>
        </w:rPr>
        <w:t xml:space="preserve">Schedule 1B10 – O-Alkyl O-2-dialkylaminoethyl </w:t>
      </w:r>
      <w:proofErr w:type="spellStart"/>
      <w:r w:rsidRPr="00495739">
        <w:rPr>
          <w:rFonts w:eastAsia="Calibri" w:cs="Arial"/>
          <w:b/>
          <w:szCs w:val="20"/>
          <w:u w:val="single"/>
        </w:rPr>
        <w:t>alkylphosphonites</w:t>
      </w:r>
      <w:proofErr w:type="spellEnd"/>
      <w:r w:rsidRPr="00495739">
        <w:rPr>
          <w:rFonts w:eastAsia="Calibri" w:cs="Arial"/>
          <w:b/>
          <w:szCs w:val="20"/>
          <w:u w:val="single"/>
        </w:rPr>
        <w:t xml:space="preserve"> and corresponding salts</w:t>
      </w:r>
    </w:p>
    <w:p w:rsidR="00515349" w:rsidRPr="00162991" w:rsidRDefault="00515349" w:rsidP="00515349">
      <w:pPr>
        <w:jc w:val="both"/>
        <w:rPr>
          <w:rFonts w:eastAsia="Calibri" w:cs="Arial"/>
          <w:szCs w:val="20"/>
        </w:rPr>
      </w:pPr>
      <w:r w:rsidRPr="00162991">
        <w:rPr>
          <w:rFonts w:eastAsia="Calibri" w:cs="Arial"/>
          <w:szCs w:val="20"/>
        </w:rPr>
        <w:t>In addition to the chemicals which are covered by the generic descriptors of scheduled ‘families’ in 1B10:</w:t>
      </w:r>
    </w:p>
    <w:p w:rsidR="00515349" w:rsidRPr="00162991" w:rsidRDefault="00515349" w:rsidP="00515349">
      <w:pPr>
        <w:numPr>
          <w:ilvl w:val="0"/>
          <w:numId w:val="3"/>
        </w:numPr>
        <w:tabs>
          <w:tab w:val="clear" w:pos="567"/>
          <w:tab w:val="clear" w:pos="1134"/>
          <w:tab w:val="clear" w:pos="1701"/>
          <w:tab w:val="clear" w:pos="5670"/>
          <w:tab w:val="clear" w:pos="9356"/>
        </w:tabs>
        <w:spacing w:after="0"/>
        <w:contextualSpacing/>
        <w:jc w:val="both"/>
        <w:rPr>
          <w:rFonts w:eastAsia="Calibri" w:cs="Arial"/>
          <w:szCs w:val="20"/>
        </w:rPr>
      </w:pPr>
      <w:r w:rsidRPr="00162991">
        <w:rPr>
          <w:rFonts w:eastAsia="Calibri" w:cs="Arial"/>
          <w:szCs w:val="20"/>
        </w:rPr>
        <w:t>Isotopically labelled and radiolabelled analogues of the chemicals described in 1B10 should also be declared.  This includes, but is not limited to, chemicals containing deuterium, carbon-14, and phosphorus-32.</w:t>
      </w:r>
    </w:p>
    <w:p w:rsidR="00515349" w:rsidRPr="00162991" w:rsidRDefault="00515349" w:rsidP="00515349">
      <w:pPr>
        <w:jc w:val="both"/>
        <w:rPr>
          <w:rFonts w:eastAsia="Calibri" w:cs="Arial"/>
          <w:szCs w:val="20"/>
        </w:rPr>
      </w:pPr>
    </w:p>
    <w:p w:rsidR="00515349" w:rsidRPr="00495739" w:rsidRDefault="00515349" w:rsidP="00515349">
      <w:pPr>
        <w:jc w:val="both"/>
        <w:rPr>
          <w:rFonts w:eastAsia="Calibri" w:cs="Arial"/>
          <w:b/>
          <w:szCs w:val="20"/>
          <w:u w:val="single"/>
        </w:rPr>
      </w:pPr>
      <w:r w:rsidRPr="00495739">
        <w:rPr>
          <w:rFonts w:eastAsia="Calibri" w:cs="Arial"/>
          <w:b/>
          <w:szCs w:val="20"/>
          <w:u w:val="single"/>
        </w:rPr>
        <w:t xml:space="preserve">Schedule 1B11 - </w:t>
      </w:r>
      <w:proofErr w:type="spellStart"/>
      <w:r w:rsidRPr="00495739">
        <w:rPr>
          <w:rFonts w:eastAsia="Calibri" w:cs="Arial"/>
          <w:b/>
          <w:szCs w:val="20"/>
          <w:u w:val="single"/>
        </w:rPr>
        <w:t>Chlorosarin</w:t>
      </w:r>
      <w:proofErr w:type="spellEnd"/>
    </w:p>
    <w:p w:rsidR="00515349" w:rsidRPr="00162991" w:rsidRDefault="00515349" w:rsidP="00515349">
      <w:pPr>
        <w:jc w:val="both"/>
        <w:rPr>
          <w:rFonts w:eastAsia="Calibri" w:cs="Arial"/>
          <w:szCs w:val="20"/>
        </w:rPr>
      </w:pPr>
      <w:r w:rsidRPr="00162991">
        <w:rPr>
          <w:rFonts w:eastAsia="Calibri" w:cs="Arial"/>
          <w:szCs w:val="20"/>
        </w:rPr>
        <w:t>In addition to the single chemical which is explicitly listed in 1B11:</w:t>
      </w:r>
    </w:p>
    <w:p w:rsidR="00515349" w:rsidRPr="00162991" w:rsidRDefault="00515349" w:rsidP="00515349">
      <w:pPr>
        <w:numPr>
          <w:ilvl w:val="0"/>
          <w:numId w:val="3"/>
        </w:numPr>
        <w:tabs>
          <w:tab w:val="clear" w:pos="567"/>
          <w:tab w:val="clear" w:pos="1134"/>
          <w:tab w:val="clear" w:pos="1701"/>
          <w:tab w:val="clear" w:pos="5670"/>
          <w:tab w:val="clear" w:pos="9356"/>
        </w:tabs>
        <w:spacing w:after="0"/>
        <w:contextualSpacing/>
        <w:jc w:val="both"/>
        <w:rPr>
          <w:rFonts w:eastAsia="Calibri" w:cs="Arial"/>
          <w:szCs w:val="20"/>
        </w:rPr>
      </w:pPr>
      <w:r w:rsidRPr="00162991">
        <w:rPr>
          <w:rFonts w:eastAsia="Calibri" w:cs="Arial"/>
          <w:szCs w:val="20"/>
        </w:rPr>
        <w:t xml:space="preserve">Isotopically labelled and radiolabelled analogues of </w:t>
      </w:r>
      <w:proofErr w:type="spellStart"/>
      <w:r w:rsidRPr="00162991">
        <w:rPr>
          <w:rFonts w:eastAsia="Calibri" w:cs="Arial"/>
          <w:szCs w:val="20"/>
        </w:rPr>
        <w:t>chlorosarin</w:t>
      </w:r>
      <w:proofErr w:type="spellEnd"/>
      <w:r w:rsidRPr="00162991">
        <w:rPr>
          <w:rFonts w:eastAsia="Calibri" w:cs="Arial"/>
          <w:szCs w:val="20"/>
        </w:rPr>
        <w:t xml:space="preserve"> should also be declared.  This includes, but is not limited to, chemicals containing deuterium, carbon-14, and phosphorus-32.</w:t>
      </w:r>
    </w:p>
    <w:p w:rsidR="00515349" w:rsidRPr="00162991" w:rsidRDefault="00515349" w:rsidP="00515349">
      <w:pPr>
        <w:ind w:left="720"/>
        <w:contextualSpacing/>
        <w:jc w:val="both"/>
        <w:rPr>
          <w:rFonts w:eastAsia="Calibri" w:cs="Arial"/>
          <w:szCs w:val="20"/>
        </w:rPr>
      </w:pPr>
    </w:p>
    <w:p w:rsidR="00515349" w:rsidRPr="00162991" w:rsidRDefault="00515349" w:rsidP="00515349">
      <w:pPr>
        <w:numPr>
          <w:ilvl w:val="0"/>
          <w:numId w:val="3"/>
        </w:numPr>
        <w:tabs>
          <w:tab w:val="clear" w:pos="567"/>
          <w:tab w:val="clear" w:pos="1134"/>
          <w:tab w:val="clear" w:pos="1701"/>
          <w:tab w:val="clear" w:pos="5670"/>
          <w:tab w:val="clear" w:pos="9356"/>
        </w:tabs>
        <w:spacing w:after="0"/>
        <w:contextualSpacing/>
        <w:jc w:val="both"/>
        <w:rPr>
          <w:rFonts w:eastAsia="Calibri" w:cs="Arial"/>
          <w:szCs w:val="20"/>
        </w:rPr>
      </w:pPr>
      <w:r w:rsidRPr="00162991">
        <w:rPr>
          <w:rFonts w:eastAsia="Calibri" w:cs="Arial"/>
          <w:szCs w:val="20"/>
        </w:rPr>
        <w:t xml:space="preserve">All stereoisomers, including mixtures of stereoisomers, of </w:t>
      </w:r>
      <w:proofErr w:type="spellStart"/>
      <w:r w:rsidRPr="00162991">
        <w:rPr>
          <w:rFonts w:eastAsia="Calibri" w:cs="Arial"/>
          <w:szCs w:val="20"/>
        </w:rPr>
        <w:t>chlorosarin</w:t>
      </w:r>
      <w:proofErr w:type="spellEnd"/>
      <w:r w:rsidRPr="00162991">
        <w:rPr>
          <w:rFonts w:eastAsia="Calibri" w:cs="Arial"/>
          <w:szCs w:val="20"/>
        </w:rPr>
        <w:t xml:space="preserve"> (and its isotopically labelled analogues) should also be declared.</w:t>
      </w:r>
    </w:p>
    <w:p w:rsidR="00515349" w:rsidRPr="00162991" w:rsidRDefault="00515349" w:rsidP="00515349">
      <w:pPr>
        <w:jc w:val="both"/>
        <w:rPr>
          <w:rFonts w:eastAsia="Calibri" w:cs="Arial"/>
          <w:szCs w:val="20"/>
        </w:rPr>
      </w:pPr>
    </w:p>
    <w:p w:rsidR="00515349" w:rsidRPr="00495739" w:rsidRDefault="00515349" w:rsidP="00515349">
      <w:pPr>
        <w:jc w:val="both"/>
        <w:rPr>
          <w:rFonts w:eastAsia="Calibri" w:cs="Arial"/>
          <w:b/>
          <w:szCs w:val="20"/>
          <w:u w:val="single"/>
        </w:rPr>
      </w:pPr>
      <w:r w:rsidRPr="00495739">
        <w:rPr>
          <w:rFonts w:eastAsia="Calibri" w:cs="Arial"/>
          <w:b/>
          <w:szCs w:val="20"/>
          <w:u w:val="single"/>
        </w:rPr>
        <w:t xml:space="preserve">Schedule 1B12 - </w:t>
      </w:r>
      <w:proofErr w:type="spellStart"/>
      <w:r w:rsidRPr="00495739">
        <w:rPr>
          <w:rFonts w:eastAsia="Calibri" w:cs="Arial"/>
          <w:b/>
          <w:szCs w:val="20"/>
          <w:u w:val="single"/>
        </w:rPr>
        <w:t>Chlorosoman</w:t>
      </w:r>
      <w:proofErr w:type="spellEnd"/>
    </w:p>
    <w:p w:rsidR="00515349" w:rsidRPr="00162991" w:rsidRDefault="00515349" w:rsidP="00515349">
      <w:pPr>
        <w:jc w:val="both"/>
        <w:rPr>
          <w:rFonts w:eastAsia="Calibri" w:cs="Arial"/>
          <w:szCs w:val="20"/>
        </w:rPr>
      </w:pPr>
      <w:r w:rsidRPr="00162991">
        <w:rPr>
          <w:rFonts w:eastAsia="Calibri" w:cs="Arial"/>
          <w:szCs w:val="20"/>
        </w:rPr>
        <w:t>In addition to the single chemical which is explicitly listed in 1B12:</w:t>
      </w:r>
    </w:p>
    <w:p w:rsidR="00515349" w:rsidRPr="00162991" w:rsidRDefault="00515349" w:rsidP="00515349">
      <w:pPr>
        <w:numPr>
          <w:ilvl w:val="0"/>
          <w:numId w:val="3"/>
        </w:numPr>
        <w:tabs>
          <w:tab w:val="clear" w:pos="567"/>
          <w:tab w:val="clear" w:pos="1134"/>
          <w:tab w:val="clear" w:pos="1701"/>
          <w:tab w:val="clear" w:pos="5670"/>
          <w:tab w:val="clear" w:pos="9356"/>
        </w:tabs>
        <w:spacing w:after="0"/>
        <w:contextualSpacing/>
        <w:jc w:val="both"/>
        <w:rPr>
          <w:rFonts w:eastAsia="Calibri" w:cs="Arial"/>
          <w:szCs w:val="20"/>
        </w:rPr>
      </w:pPr>
      <w:r w:rsidRPr="00162991">
        <w:rPr>
          <w:rFonts w:eastAsia="Calibri" w:cs="Arial"/>
          <w:szCs w:val="20"/>
        </w:rPr>
        <w:t xml:space="preserve">Isotopically labelled and radiolabelled analogues of </w:t>
      </w:r>
      <w:proofErr w:type="spellStart"/>
      <w:r w:rsidRPr="00162991">
        <w:rPr>
          <w:rFonts w:eastAsia="Calibri" w:cs="Arial"/>
          <w:szCs w:val="20"/>
        </w:rPr>
        <w:t>chlorosoman</w:t>
      </w:r>
      <w:proofErr w:type="spellEnd"/>
      <w:r w:rsidRPr="00162991">
        <w:rPr>
          <w:rFonts w:eastAsia="Calibri" w:cs="Arial"/>
          <w:szCs w:val="20"/>
        </w:rPr>
        <w:t xml:space="preserve"> should also be declared.  This includes, but is not limited to, chemicals containing deuterium, carbon-14, and phosphorus-32.</w:t>
      </w:r>
    </w:p>
    <w:p w:rsidR="00515349" w:rsidRPr="00162991" w:rsidRDefault="00515349" w:rsidP="00515349">
      <w:pPr>
        <w:ind w:left="720"/>
        <w:contextualSpacing/>
        <w:jc w:val="both"/>
        <w:rPr>
          <w:rFonts w:eastAsia="Calibri" w:cs="Arial"/>
          <w:szCs w:val="20"/>
        </w:rPr>
      </w:pPr>
    </w:p>
    <w:p w:rsidR="00515349" w:rsidRDefault="00515349" w:rsidP="00515349">
      <w:pPr>
        <w:numPr>
          <w:ilvl w:val="0"/>
          <w:numId w:val="3"/>
        </w:numPr>
        <w:tabs>
          <w:tab w:val="clear" w:pos="567"/>
          <w:tab w:val="clear" w:pos="1134"/>
          <w:tab w:val="clear" w:pos="1701"/>
          <w:tab w:val="clear" w:pos="5670"/>
          <w:tab w:val="clear" w:pos="9356"/>
        </w:tabs>
        <w:spacing w:after="0"/>
        <w:contextualSpacing/>
        <w:jc w:val="both"/>
        <w:rPr>
          <w:rFonts w:eastAsia="Calibri" w:cs="Arial"/>
          <w:szCs w:val="20"/>
        </w:rPr>
      </w:pPr>
      <w:r w:rsidRPr="00162991">
        <w:rPr>
          <w:rFonts w:eastAsia="Calibri" w:cs="Arial"/>
          <w:szCs w:val="20"/>
        </w:rPr>
        <w:t xml:space="preserve">All stereoisomers, including mixtures of stereoisomers, of </w:t>
      </w:r>
      <w:proofErr w:type="spellStart"/>
      <w:r w:rsidRPr="00162991">
        <w:rPr>
          <w:rFonts w:eastAsia="Calibri" w:cs="Arial"/>
          <w:szCs w:val="20"/>
        </w:rPr>
        <w:t>chlorosoman</w:t>
      </w:r>
      <w:proofErr w:type="spellEnd"/>
      <w:r w:rsidRPr="00162991">
        <w:rPr>
          <w:rFonts w:eastAsia="Calibri" w:cs="Arial"/>
          <w:szCs w:val="20"/>
        </w:rPr>
        <w:t xml:space="preserve"> (and its isotopically labelled ana</w:t>
      </w:r>
      <w:r>
        <w:rPr>
          <w:rFonts w:eastAsia="Calibri" w:cs="Arial"/>
          <w:szCs w:val="20"/>
        </w:rPr>
        <w:t>logues) should also be declared.</w:t>
      </w:r>
    </w:p>
    <w:p w:rsidR="00763290" w:rsidRDefault="00763290" w:rsidP="00763290">
      <w:pPr>
        <w:tabs>
          <w:tab w:val="clear" w:pos="567"/>
          <w:tab w:val="clear" w:pos="1134"/>
          <w:tab w:val="clear" w:pos="1701"/>
          <w:tab w:val="clear" w:pos="5670"/>
          <w:tab w:val="clear" w:pos="9356"/>
        </w:tabs>
        <w:spacing w:after="0"/>
        <w:contextualSpacing/>
        <w:jc w:val="both"/>
        <w:rPr>
          <w:rFonts w:eastAsia="Calibri" w:cs="Arial"/>
          <w:szCs w:val="20"/>
        </w:rPr>
      </w:pPr>
    </w:p>
    <w:p w:rsidR="00C27CBC" w:rsidRDefault="00C27CBC" w:rsidP="00763290">
      <w:pPr>
        <w:tabs>
          <w:tab w:val="clear" w:pos="567"/>
          <w:tab w:val="clear" w:pos="1134"/>
          <w:tab w:val="clear" w:pos="1701"/>
          <w:tab w:val="clear" w:pos="5670"/>
          <w:tab w:val="clear" w:pos="9356"/>
        </w:tabs>
        <w:spacing w:after="0"/>
        <w:contextualSpacing/>
        <w:jc w:val="both"/>
        <w:rPr>
          <w:rFonts w:eastAsia="Calibri" w:cs="Arial"/>
          <w:szCs w:val="20"/>
        </w:rPr>
        <w:sectPr w:rsidR="00C27CBC" w:rsidSect="0007703F">
          <w:footerReference w:type="default" r:id="rId10"/>
          <w:pgSz w:w="11906" w:h="16838"/>
          <w:pgMar w:top="1691" w:right="1440" w:bottom="1440" w:left="1440" w:header="709" w:footer="709" w:gutter="0"/>
          <w:cols w:space="708"/>
          <w:docGrid w:linePitch="360"/>
        </w:sectPr>
      </w:pPr>
    </w:p>
    <w:p w:rsidR="00C27CBC" w:rsidRPr="00CD3260" w:rsidRDefault="00C27CBC" w:rsidP="00C27CBC">
      <w:pPr>
        <w:rPr>
          <w:rFonts w:cs="Arial"/>
          <w:b/>
          <w:sz w:val="24"/>
        </w:rPr>
      </w:pPr>
      <w:r w:rsidRPr="00D71CD0">
        <w:rPr>
          <w:rFonts w:cs="Arial"/>
          <w:b/>
          <w:sz w:val="24"/>
        </w:rPr>
        <w:lastRenderedPageBreak/>
        <w:t>CWC Schedule 1 Declaration Form</w:t>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t>Page 1 of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0"/>
        <w:gridCol w:w="7104"/>
        <w:gridCol w:w="1267"/>
        <w:gridCol w:w="3206"/>
      </w:tblGrid>
      <w:tr w:rsidR="00C27CBC" w:rsidTr="00254CA9">
        <w:trPr>
          <w:trHeight w:val="525"/>
        </w:trPr>
        <w:tc>
          <w:tcPr>
            <w:tcW w:w="2122" w:type="dxa"/>
            <w:tcBorders>
              <w:bottom w:val="single" w:sz="4" w:space="0" w:color="auto"/>
            </w:tcBorders>
          </w:tcPr>
          <w:p w:rsidR="00C27CBC" w:rsidRDefault="00C27CBC" w:rsidP="00254CA9">
            <w:pPr>
              <w:spacing w:after="0"/>
              <w:jc w:val="both"/>
              <w:rPr>
                <w:b/>
                <w:bCs/>
              </w:rPr>
            </w:pPr>
            <w:r>
              <w:rPr>
                <w:b/>
                <w:bCs/>
              </w:rPr>
              <w:t>Department/Unit:</w:t>
            </w:r>
          </w:p>
        </w:tc>
        <w:tc>
          <w:tcPr>
            <w:tcW w:w="7229" w:type="dxa"/>
            <w:tcBorders>
              <w:bottom w:val="single" w:sz="4" w:space="0" w:color="auto"/>
            </w:tcBorders>
          </w:tcPr>
          <w:p w:rsidR="00C27CBC" w:rsidRDefault="00C27CBC" w:rsidP="00254CA9">
            <w:pPr>
              <w:spacing w:after="0"/>
              <w:jc w:val="both"/>
            </w:pPr>
          </w:p>
          <w:p w:rsidR="00C27CBC" w:rsidRDefault="00C27CBC" w:rsidP="00254CA9">
            <w:pPr>
              <w:spacing w:after="0"/>
              <w:jc w:val="both"/>
            </w:pPr>
          </w:p>
        </w:tc>
        <w:tc>
          <w:tcPr>
            <w:tcW w:w="1276" w:type="dxa"/>
            <w:tcBorders>
              <w:bottom w:val="single" w:sz="4" w:space="0" w:color="auto"/>
            </w:tcBorders>
          </w:tcPr>
          <w:p w:rsidR="00C27CBC" w:rsidRDefault="00C27CBC" w:rsidP="00254CA9">
            <w:pPr>
              <w:spacing w:after="0"/>
              <w:jc w:val="both"/>
              <w:rPr>
                <w:b/>
                <w:bCs/>
              </w:rPr>
            </w:pPr>
            <w:r>
              <w:rPr>
                <w:b/>
                <w:bCs/>
              </w:rPr>
              <w:t>Date:</w:t>
            </w:r>
          </w:p>
        </w:tc>
        <w:tc>
          <w:tcPr>
            <w:tcW w:w="3260" w:type="dxa"/>
            <w:tcBorders>
              <w:bottom w:val="single" w:sz="4" w:space="0" w:color="auto"/>
            </w:tcBorders>
          </w:tcPr>
          <w:p w:rsidR="00C27CBC" w:rsidRDefault="00C27CBC" w:rsidP="00254CA9">
            <w:pPr>
              <w:spacing w:after="0"/>
              <w:jc w:val="both"/>
            </w:pPr>
          </w:p>
        </w:tc>
      </w:tr>
      <w:tr w:rsidR="00C27CBC" w:rsidTr="00254CA9">
        <w:trPr>
          <w:trHeight w:val="329"/>
        </w:trPr>
        <w:tc>
          <w:tcPr>
            <w:tcW w:w="2122" w:type="dxa"/>
            <w:tcBorders>
              <w:top w:val="single" w:sz="4" w:space="0" w:color="auto"/>
            </w:tcBorders>
          </w:tcPr>
          <w:p w:rsidR="00C27CBC" w:rsidRDefault="00C27CBC" w:rsidP="00254CA9">
            <w:pPr>
              <w:spacing w:after="0"/>
              <w:rPr>
                <w:b/>
                <w:bCs/>
              </w:rPr>
            </w:pPr>
            <w:r>
              <w:rPr>
                <w:b/>
                <w:bCs/>
              </w:rPr>
              <w:t xml:space="preserve">Description of activity </w:t>
            </w:r>
          </w:p>
        </w:tc>
        <w:tc>
          <w:tcPr>
            <w:tcW w:w="11765" w:type="dxa"/>
            <w:gridSpan w:val="3"/>
            <w:tcBorders>
              <w:top w:val="single" w:sz="4" w:space="0" w:color="auto"/>
            </w:tcBorders>
          </w:tcPr>
          <w:p w:rsidR="00C27CBC" w:rsidRDefault="00C27CBC" w:rsidP="00254CA9">
            <w:pPr>
              <w:spacing w:after="0"/>
              <w:jc w:val="both"/>
            </w:pPr>
          </w:p>
          <w:p w:rsidR="00C27CBC" w:rsidRDefault="00C27CBC" w:rsidP="00254CA9">
            <w:pPr>
              <w:spacing w:after="0"/>
              <w:jc w:val="both"/>
            </w:pPr>
          </w:p>
          <w:p w:rsidR="00C27CBC" w:rsidRDefault="00C27CBC" w:rsidP="00254CA9">
            <w:pPr>
              <w:spacing w:after="0"/>
              <w:jc w:val="both"/>
            </w:pPr>
          </w:p>
        </w:tc>
      </w:tr>
    </w:tbl>
    <w:p w:rsidR="00C27CBC" w:rsidRDefault="00C27CBC" w:rsidP="00C27CBC">
      <w:pPr>
        <w:spacing w:after="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2"/>
        <w:gridCol w:w="2047"/>
        <w:gridCol w:w="1905"/>
        <w:gridCol w:w="1760"/>
        <w:gridCol w:w="1259"/>
        <w:gridCol w:w="1439"/>
        <w:gridCol w:w="1877"/>
        <w:gridCol w:w="1378"/>
      </w:tblGrid>
      <w:tr w:rsidR="00C27CBC" w:rsidTr="00254CA9">
        <w:trPr>
          <w:trHeight w:val="511"/>
        </w:trPr>
        <w:tc>
          <w:tcPr>
            <w:tcW w:w="2122" w:type="dxa"/>
          </w:tcPr>
          <w:p w:rsidR="00C27CBC" w:rsidRDefault="00C27CBC" w:rsidP="00254CA9">
            <w:pPr>
              <w:spacing w:after="0"/>
              <w:jc w:val="both"/>
              <w:rPr>
                <w:b/>
                <w:bCs/>
              </w:rPr>
            </w:pPr>
            <w:r>
              <w:rPr>
                <w:b/>
                <w:bCs/>
              </w:rPr>
              <w:t>Location of material</w:t>
            </w:r>
          </w:p>
          <w:p w:rsidR="00C27CBC" w:rsidRDefault="00C27CBC" w:rsidP="00254CA9">
            <w:pPr>
              <w:spacing w:after="0"/>
              <w:rPr>
                <w:b/>
                <w:bCs/>
              </w:rPr>
            </w:pPr>
            <w:r>
              <w:rPr>
                <w:b/>
                <w:bCs/>
              </w:rPr>
              <w:t>(Building, room number)</w:t>
            </w:r>
          </w:p>
        </w:tc>
        <w:tc>
          <w:tcPr>
            <w:tcW w:w="2126" w:type="dxa"/>
          </w:tcPr>
          <w:p w:rsidR="00C27CBC" w:rsidRDefault="00C27CBC" w:rsidP="00254CA9">
            <w:pPr>
              <w:spacing w:after="0"/>
              <w:rPr>
                <w:b/>
                <w:bCs/>
              </w:rPr>
            </w:pPr>
            <w:r>
              <w:rPr>
                <w:b/>
                <w:bCs/>
              </w:rPr>
              <w:t xml:space="preserve">Name of PI </w:t>
            </w:r>
            <w:proofErr w:type="gramStart"/>
            <w:r>
              <w:rPr>
                <w:b/>
                <w:bCs/>
              </w:rPr>
              <w:t>/  supervisor</w:t>
            </w:r>
            <w:proofErr w:type="gramEnd"/>
          </w:p>
        </w:tc>
        <w:tc>
          <w:tcPr>
            <w:tcW w:w="1984" w:type="dxa"/>
          </w:tcPr>
          <w:p w:rsidR="00C27CBC" w:rsidRDefault="00C27CBC" w:rsidP="00254CA9">
            <w:pPr>
              <w:spacing w:after="0"/>
              <w:rPr>
                <w:b/>
                <w:bCs/>
              </w:rPr>
            </w:pPr>
            <w:proofErr w:type="gramStart"/>
            <w:r>
              <w:rPr>
                <w:b/>
                <w:bCs/>
              </w:rPr>
              <w:t>Chemical  Name</w:t>
            </w:r>
            <w:proofErr w:type="gramEnd"/>
          </w:p>
        </w:tc>
        <w:tc>
          <w:tcPr>
            <w:tcW w:w="1843" w:type="dxa"/>
            <w:tcBorders>
              <w:right w:val="single" w:sz="4" w:space="0" w:color="auto"/>
            </w:tcBorders>
          </w:tcPr>
          <w:p w:rsidR="00C27CBC" w:rsidRDefault="00C27CBC" w:rsidP="00254CA9">
            <w:pPr>
              <w:spacing w:after="0"/>
              <w:rPr>
                <w:b/>
                <w:bCs/>
              </w:rPr>
            </w:pPr>
            <w:r>
              <w:rPr>
                <w:b/>
                <w:bCs/>
              </w:rPr>
              <w:t>CAS number</w:t>
            </w:r>
          </w:p>
        </w:tc>
        <w:tc>
          <w:tcPr>
            <w:tcW w:w="1276" w:type="dxa"/>
            <w:tcBorders>
              <w:left w:val="single" w:sz="4" w:space="0" w:color="auto"/>
              <w:right w:val="single" w:sz="4" w:space="0" w:color="auto"/>
            </w:tcBorders>
          </w:tcPr>
          <w:p w:rsidR="00C27CBC" w:rsidRDefault="00C27CBC" w:rsidP="00254CA9">
            <w:pPr>
              <w:spacing w:after="0"/>
              <w:rPr>
                <w:b/>
                <w:bCs/>
              </w:rPr>
            </w:pPr>
            <w:r>
              <w:rPr>
                <w:b/>
                <w:bCs/>
              </w:rPr>
              <w:t>Quantity held</w:t>
            </w:r>
          </w:p>
        </w:tc>
        <w:tc>
          <w:tcPr>
            <w:tcW w:w="1276" w:type="dxa"/>
            <w:tcBorders>
              <w:left w:val="single" w:sz="4" w:space="0" w:color="auto"/>
              <w:right w:val="single" w:sz="4" w:space="0" w:color="auto"/>
            </w:tcBorders>
          </w:tcPr>
          <w:p w:rsidR="00C27CBC" w:rsidRDefault="00C27CBC" w:rsidP="00254CA9">
            <w:pPr>
              <w:spacing w:after="0"/>
              <w:rPr>
                <w:b/>
                <w:bCs/>
              </w:rPr>
            </w:pPr>
            <w:r>
              <w:rPr>
                <w:b/>
                <w:bCs/>
              </w:rPr>
              <w:t xml:space="preserve">Possession &amp; Use </w:t>
            </w:r>
          </w:p>
          <w:p w:rsidR="00C27CBC" w:rsidRPr="000F0F69" w:rsidRDefault="00C27CBC" w:rsidP="00254CA9">
            <w:pPr>
              <w:spacing w:after="0"/>
              <w:rPr>
                <w:b/>
                <w:bCs/>
                <w:sz w:val="24"/>
              </w:rPr>
            </w:pPr>
            <w:r w:rsidRPr="000F0F69">
              <w:rPr>
                <w:b/>
                <w:bCs/>
                <w:sz w:val="24"/>
              </w:rPr>
              <w:t>YES / NO</w:t>
            </w:r>
          </w:p>
          <w:p w:rsidR="00C27CBC" w:rsidRDefault="00C27CBC" w:rsidP="00254CA9">
            <w:pPr>
              <w:spacing w:after="0"/>
              <w:rPr>
                <w:b/>
                <w:bCs/>
              </w:rPr>
            </w:pPr>
          </w:p>
          <w:p w:rsidR="00C27CBC" w:rsidRPr="000F0F69" w:rsidRDefault="00C27CBC" w:rsidP="00254CA9">
            <w:pPr>
              <w:spacing w:after="0"/>
              <w:rPr>
                <w:b/>
                <w:bCs/>
                <w:i/>
              </w:rPr>
            </w:pPr>
            <w:r w:rsidRPr="000F0F69">
              <w:rPr>
                <w:b/>
                <w:bCs/>
                <w:i/>
              </w:rPr>
              <w:t>See note 1</w:t>
            </w:r>
          </w:p>
        </w:tc>
        <w:tc>
          <w:tcPr>
            <w:tcW w:w="1967" w:type="dxa"/>
            <w:tcBorders>
              <w:left w:val="single" w:sz="4" w:space="0" w:color="auto"/>
              <w:right w:val="single" w:sz="4" w:space="0" w:color="auto"/>
            </w:tcBorders>
          </w:tcPr>
          <w:p w:rsidR="00C27CBC" w:rsidRDefault="00C27CBC" w:rsidP="00254CA9">
            <w:pPr>
              <w:spacing w:after="0"/>
              <w:rPr>
                <w:b/>
                <w:bCs/>
              </w:rPr>
            </w:pPr>
            <w:r>
              <w:rPr>
                <w:b/>
                <w:bCs/>
              </w:rPr>
              <w:t>Name of supplier</w:t>
            </w:r>
          </w:p>
        </w:tc>
        <w:tc>
          <w:tcPr>
            <w:tcW w:w="1295" w:type="dxa"/>
            <w:tcBorders>
              <w:left w:val="single" w:sz="4" w:space="0" w:color="auto"/>
            </w:tcBorders>
          </w:tcPr>
          <w:p w:rsidR="00C27CBC" w:rsidRDefault="00C27CBC" w:rsidP="00254CA9">
            <w:pPr>
              <w:spacing w:after="0"/>
              <w:rPr>
                <w:b/>
                <w:bCs/>
              </w:rPr>
            </w:pPr>
            <w:r>
              <w:rPr>
                <w:b/>
                <w:bCs/>
              </w:rPr>
              <w:t>Production</w:t>
            </w:r>
          </w:p>
          <w:p w:rsidR="00C27CBC" w:rsidRDefault="00C27CBC" w:rsidP="00254CA9">
            <w:pPr>
              <w:spacing w:after="0"/>
              <w:rPr>
                <w:b/>
                <w:bCs/>
                <w:sz w:val="24"/>
              </w:rPr>
            </w:pPr>
          </w:p>
          <w:p w:rsidR="00C27CBC" w:rsidRPr="000F0F69" w:rsidRDefault="00C27CBC" w:rsidP="00254CA9">
            <w:pPr>
              <w:spacing w:after="0"/>
              <w:rPr>
                <w:b/>
                <w:bCs/>
                <w:sz w:val="24"/>
              </w:rPr>
            </w:pPr>
            <w:r w:rsidRPr="000F0F69">
              <w:rPr>
                <w:b/>
                <w:bCs/>
                <w:sz w:val="24"/>
              </w:rPr>
              <w:t>YES / NO</w:t>
            </w:r>
          </w:p>
          <w:p w:rsidR="00C27CBC" w:rsidRPr="000F0F69" w:rsidRDefault="00C27CBC" w:rsidP="00254CA9">
            <w:pPr>
              <w:spacing w:after="0"/>
              <w:rPr>
                <w:b/>
                <w:bCs/>
                <w:i/>
              </w:rPr>
            </w:pPr>
            <w:r w:rsidRPr="000F0F69">
              <w:rPr>
                <w:b/>
                <w:bCs/>
                <w:i/>
              </w:rPr>
              <w:t>See notes 2&amp;3</w:t>
            </w:r>
          </w:p>
        </w:tc>
      </w:tr>
      <w:tr w:rsidR="00C27CBC" w:rsidTr="00254CA9">
        <w:trPr>
          <w:trHeight w:val="397"/>
        </w:trPr>
        <w:tc>
          <w:tcPr>
            <w:tcW w:w="2122" w:type="dxa"/>
          </w:tcPr>
          <w:p w:rsidR="00C27CBC" w:rsidRDefault="00C27CBC" w:rsidP="00254CA9">
            <w:pPr>
              <w:spacing w:after="0"/>
              <w:jc w:val="both"/>
            </w:pPr>
          </w:p>
          <w:p w:rsidR="00C27CBC" w:rsidRDefault="00C27CBC" w:rsidP="00254CA9">
            <w:pPr>
              <w:spacing w:after="0"/>
              <w:jc w:val="both"/>
            </w:pPr>
          </w:p>
        </w:tc>
        <w:tc>
          <w:tcPr>
            <w:tcW w:w="2126" w:type="dxa"/>
          </w:tcPr>
          <w:p w:rsidR="00C27CBC" w:rsidRDefault="00C27CBC" w:rsidP="00254CA9">
            <w:pPr>
              <w:spacing w:after="0"/>
              <w:jc w:val="both"/>
            </w:pPr>
          </w:p>
        </w:tc>
        <w:tc>
          <w:tcPr>
            <w:tcW w:w="1984" w:type="dxa"/>
          </w:tcPr>
          <w:p w:rsidR="00C27CBC" w:rsidRDefault="00C27CBC" w:rsidP="00254CA9">
            <w:pPr>
              <w:spacing w:after="0"/>
              <w:jc w:val="both"/>
            </w:pPr>
          </w:p>
        </w:tc>
        <w:tc>
          <w:tcPr>
            <w:tcW w:w="1843" w:type="dxa"/>
            <w:tcBorders>
              <w:right w:val="single" w:sz="4" w:space="0" w:color="auto"/>
            </w:tcBorders>
          </w:tcPr>
          <w:p w:rsidR="00C27CBC" w:rsidRDefault="00C27CBC" w:rsidP="00254CA9">
            <w:pPr>
              <w:spacing w:after="0"/>
              <w:jc w:val="both"/>
            </w:pPr>
          </w:p>
        </w:tc>
        <w:tc>
          <w:tcPr>
            <w:tcW w:w="1276" w:type="dxa"/>
            <w:tcBorders>
              <w:left w:val="single" w:sz="4" w:space="0" w:color="auto"/>
              <w:right w:val="single" w:sz="4" w:space="0" w:color="auto"/>
            </w:tcBorders>
          </w:tcPr>
          <w:p w:rsidR="00C27CBC" w:rsidRDefault="00C27CBC" w:rsidP="00254CA9">
            <w:pPr>
              <w:spacing w:after="0"/>
              <w:jc w:val="both"/>
            </w:pPr>
          </w:p>
        </w:tc>
        <w:tc>
          <w:tcPr>
            <w:tcW w:w="1276" w:type="dxa"/>
            <w:tcBorders>
              <w:left w:val="single" w:sz="4" w:space="0" w:color="auto"/>
              <w:right w:val="single" w:sz="4" w:space="0" w:color="auto"/>
            </w:tcBorders>
          </w:tcPr>
          <w:p w:rsidR="00C27CBC" w:rsidRDefault="00C27CBC" w:rsidP="00254CA9">
            <w:pPr>
              <w:spacing w:after="0"/>
              <w:jc w:val="both"/>
            </w:pPr>
          </w:p>
        </w:tc>
        <w:tc>
          <w:tcPr>
            <w:tcW w:w="1967" w:type="dxa"/>
            <w:tcBorders>
              <w:left w:val="single" w:sz="4" w:space="0" w:color="auto"/>
              <w:right w:val="single" w:sz="4" w:space="0" w:color="auto"/>
            </w:tcBorders>
          </w:tcPr>
          <w:p w:rsidR="00C27CBC" w:rsidRDefault="00C27CBC" w:rsidP="00254CA9">
            <w:pPr>
              <w:spacing w:after="0"/>
              <w:jc w:val="both"/>
            </w:pPr>
          </w:p>
        </w:tc>
        <w:tc>
          <w:tcPr>
            <w:tcW w:w="1295" w:type="dxa"/>
            <w:tcBorders>
              <w:left w:val="single" w:sz="4" w:space="0" w:color="auto"/>
            </w:tcBorders>
          </w:tcPr>
          <w:p w:rsidR="00C27CBC" w:rsidRDefault="00C27CBC" w:rsidP="00254CA9">
            <w:pPr>
              <w:spacing w:after="0"/>
              <w:jc w:val="both"/>
            </w:pPr>
          </w:p>
        </w:tc>
      </w:tr>
      <w:tr w:rsidR="00C27CBC" w:rsidTr="00254CA9">
        <w:trPr>
          <w:trHeight w:val="397"/>
        </w:trPr>
        <w:tc>
          <w:tcPr>
            <w:tcW w:w="2122" w:type="dxa"/>
          </w:tcPr>
          <w:p w:rsidR="00C27CBC" w:rsidRDefault="00C27CBC" w:rsidP="00254CA9">
            <w:pPr>
              <w:spacing w:after="0"/>
              <w:jc w:val="both"/>
            </w:pPr>
          </w:p>
          <w:p w:rsidR="00C27CBC" w:rsidRDefault="00C27CBC" w:rsidP="00254CA9">
            <w:pPr>
              <w:spacing w:after="0"/>
              <w:jc w:val="both"/>
            </w:pPr>
          </w:p>
        </w:tc>
        <w:tc>
          <w:tcPr>
            <w:tcW w:w="2126" w:type="dxa"/>
          </w:tcPr>
          <w:p w:rsidR="00C27CBC" w:rsidRDefault="00C27CBC" w:rsidP="00254CA9">
            <w:pPr>
              <w:spacing w:after="0"/>
              <w:jc w:val="both"/>
            </w:pPr>
          </w:p>
        </w:tc>
        <w:tc>
          <w:tcPr>
            <w:tcW w:w="1984" w:type="dxa"/>
          </w:tcPr>
          <w:p w:rsidR="00C27CBC" w:rsidRDefault="00C27CBC" w:rsidP="00254CA9">
            <w:pPr>
              <w:spacing w:after="0"/>
              <w:jc w:val="both"/>
            </w:pPr>
          </w:p>
        </w:tc>
        <w:tc>
          <w:tcPr>
            <w:tcW w:w="1843" w:type="dxa"/>
            <w:tcBorders>
              <w:right w:val="single" w:sz="4" w:space="0" w:color="auto"/>
            </w:tcBorders>
          </w:tcPr>
          <w:p w:rsidR="00C27CBC" w:rsidRDefault="00C27CBC" w:rsidP="00254CA9">
            <w:pPr>
              <w:spacing w:after="0"/>
              <w:jc w:val="both"/>
            </w:pPr>
          </w:p>
        </w:tc>
        <w:tc>
          <w:tcPr>
            <w:tcW w:w="1276" w:type="dxa"/>
            <w:tcBorders>
              <w:left w:val="single" w:sz="4" w:space="0" w:color="auto"/>
              <w:right w:val="single" w:sz="4" w:space="0" w:color="auto"/>
            </w:tcBorders>
          </w:tcPr>
          <w:p w:rsidR="00C27CBC" w:rsidRDefault="00C27CBC" w:rsidP="00254CA9">
            <w:pPr>
              <w:spacing w:after="0"/>
              <w:jc w:val="both"/>
            </w:pPr>
          </w:p>
        </w:tc>
        <w:tc>
          <w:tcPr>
            <w:tcW w:w="1276" w:type="dxa"/>
            <w:tcBorders>
              <w:left w:val="single" w:sz="4" w:space="0" w:color="auto"/>
              <w:right w:val="single" w:sz="4" w:space="0" w:color="auto"/>
            </w:tcBorders>
          </w:tcPr>
          <w:p w:rsidR="00C27CBC" w:rsidRDefault="00C27CBC" w:rsidP="00254CA9">
            <w:pPr>
              <w:spacing w:after="0"/>
              <w:jc w:val="both"/>
            </w:pPr>
          </w:p>
        </w:tc>
        <w:tc>
          <w:tcPr>
            <w:tcW w:w="1967" w:type="dxa"/>
            <w:tcBorders>
              <w:left w:val="single" w:sz="4" w:space="0" w:color="auto"/>
              <w:right w:val="single" w:sz="4" w:space="0" w:color="auto"/>
            </w:tcBorders>
          </w:tcPr>
          <w:p w:rsidR="00C27CBC" w:rsidRDefault="00C27CBC" w:rsidP="00254CA9">
            <w:pPr>
              <w:spacing w:after="0"/>
              <w:jc w:val="both"/>
            </w:pPr>
          </w:p>
        </w:tc>
        <w:tc>
          <w:tcPr>
            <w:tcW w:w="1295" w:type="dxa"/>
            <w:tcBorders>
              <w:left w:val="single" w:sz="4" w:space="0" w:color="auto"/>
            </w:tcBorders>
          </w:tcPr>
          <w:p w:rsidR="00C27CBC" w:rsidRDefault="00C27CBC" w:rsidP="00254CA9">
            <w:pPr>
              <w:spacing w:after="0"/>
              <w:jc w:val="both"/>
            </w:pPr>
          </w:p>
        </w:tc>
      </w:tr>
      <w:tr w:rsidR="00C27CBC" w:rsidTr="00254CA9">
        <w:trPr>
          <w:trHeight w:val="397"/>
        </w:trPr>
        <w:tc>
          <w:tcPr>
            <w:tcW w:w="2122" w:type="dxa"/>
          </w:tcPr>
          <w:p w:rsidR="00C27CBC" w:rsidRDefault="00C27CBC" w:rsidP="00254CA9">
            <w:pPr>
              <w:spacing w:after="0"/>
              <w:jc w:val="both"/>
            </w:pPr>
          </w:p>
          <w:p w:rsidR="00C27CBC" w:rsidRDefault="00C27CBC" w:rsidP="00254CA9">
            <w:pPr>
              <w:spacing w:after="0"/>
              <w:jc w:val="both"/>
            </w:pPr>
          </w:p>
        </w:tc>
        <w:tc>
          <w:tcPr>
            <w:tcW w:w="2126" w:type="dxa"/>
          </w:tcPr>
          <w:p w:rsidR="00C27CBC" w:rsidRDefault="00C27CBC" w:rsidP="00254CA9">
            <w:pPr>
              <w:spacing w:after="0"/>
              <w:jc w:val="both"/>
            </w:pPr>
          </w:p>
        </w:tc>
        <w:tc>
          <w:tcPr>
            <w:tcW w:w="1984" w:type="dxa"/>
          </w:tcPr>
          <w:p w:rsidR="00C27CBC" w:rsidRDefault="00C27CBC" w:rsidP="00254CA9">
            <w:pPr>
              <w:spacing w:after="0"/>
              <w:jc w:val="both"/>
            </w:pPr>
          </w:p>
        </w:tc>
        <w:tc>
          <w:tcPr>
            <w:tcW w:w="1843" w:type="dxa"/>
            <w:tcBorders>
              <w:right w:val="single" w:sz="4" w:space="0" w:color="auto"/>
            </w:tcBorders>
          </w:tcPr>
          <w:p w:rsidR="00C27CBC" w:rsidRDefault="00C27CBC" w:rsidP="00254CA9">
            <w:pPr>
              <w:spacing w:after="0"/>
              <w:jc w:val="both"/>
            </w:pPr>
          </w:p>
        </w:tc>
        <w:tc>
          <w:tcPr>
            <w:tcW w:w="1276" w:type="dxa"/>
            <w:tcBorders>
              <w:left w:val="single" w:sz="4" w:space="0" w:color="auto"/>
              <w:right w:val="single" w:sz="4" w:space="0" w:color="auto"/>
            </w:tcBorders>
          </w:tcPr>
          <w:p w:rsidR="00C27CBC" w:rsidRDefault="00C27CBC" w:rsidP="00254CA9">
            <w:pPr>
              <w:spacing w:after="0"/>
              <w:jc w:val="both"/>
            </w:pPr>
          </w:p>
        </w:tc>
        <w:tc>
          <w:tcPr>
            <w:tcW w:w="1276" w:type="dxa"/>
            <w:tcBorders>
              <w:left w:val="single" w:sz="4" w:space="0" w:color="auto"/>
              <w:right w:val="single" w:sz="4" w:space="0" w:color="auto"/>
            </w:tcBorders>
          </w:tcPr>
          <w:p w:rsidR="00C27CBC" w:rsidRDefault="00C27CBC" w:rsidP="00254CA9">
            <w:pPr>
              <w:spacing w:after="0"/>
              <w:jc w:val="both"/>
            </w:pPr>
          </w:p>
        </w:tc>
        <w:tc>
          <w:tcPr>
            <w:tcW w:w="1967" w:type="dxa"/>
            <w:tcBorders>
              <w:left w:val="single" w:sz="4" w:space="0" w:color="auto"/>
              <w:right w:val="single" w:sz="4" w:space="0" w:color="auto"/>
            </w:tcBorders>
          </w:tcPr>
          <w:p w:rsidR="00C27CBC" w:rsidRDefault="00C27CBC" w:rsidP="00254CA9">
            <w:pPr>
              <w:spacing w:after="0"/>
              <w:jc w:val="both"/>
            </w:pPr>
          </w:p>
        </w:tc>
        <w:tc>
          <w:tcPr>
            <w:tcW w:w="1295" w:type="dxa"/>
            <w:tcBorders>
              <w:left w:val="single" w:sz="4" w:space="0" w:color="auto"/>
            </w:tcBorders>
          </w:tcPr>
          <w:p w:rsidR="00C27CBC" w:rsidRDefault="00C27CBC" w:rsidP="00254CA9">
            <w:pPr>
              <w:spacing w:after="0"/>
              <w:jc w:val="both"/>
            </w:pPr>
          </w:p>
        </w:tc>
      </w:tr>
      <w:tr w:rsidR="00C27CBC" w:rsidTr="00254CA9">
        <w:trPr>
          <w:trHeight w:val="397"/>
        </w:trPr>
        <w:tc>
          <w:tcPr>
            <w:tcW w:w="2122" w:type="dxa"/>
          </w:tcPr>
          <w:p w:rsidR="00C27CBC" w:rsidRDefault="00C27CBC" w:rsidP="00254CA9">
            <w:pPr>
              <w:spacing w:after="0"/>
              <w:jc w:val="both"/>
            </w:pPr>
          </w:p>
          <w:p w:rsidR="00C27CBC" w:rsidRDefault="00C27CBC" w:rsidP="00254CA9">
            <w:pPr>
              <w:spacing w:after="0"/>
              <w:jc w:val="both"/>
            </w:pPr>
          </w:p>
        </w:tc>
        <w:tc>
          <w:tcPr>
            <w:tcW w:w="2126" w:type="dxa"/>
          </w:tcPr>
          <w:p w:rsidR="00C27CBC" w:rsidRDefault="00C27CBC" w:rsidP="00254CA9">
            <w:pPr>
              <w:spacing w:after="0"/>
              <w:jc w:val="both"/>
            </w:pPr>
          </w:p>
        </w:tc>
        <w:tc>
          <w:tcPr>
            <w:tcW w:w="1984" w:type="dxa"/>
          </w:tcPr>
          <w:p w:rsidR="00C27CBC" w:rsidRDefault="00C27CBC" w:rsidP="00254CA9">
            <w:pPr>
              <w:spacing w:after="0"/>
              <w:jc w:val="both"/>
            </w:pPr>
          </w:p>
        </w:tc>
        <w:tc>
          <w:tcPr>
            <w:tcW w:w="1843" w:type="dxa"/>
            <w:tcBorders>
              <w:right w:val="single" w:sz="4" w:space="0" w:color="auto"/>
            </w:tcBorders>
          </w:tcPr>
          <w:p w:rsidR="00C27CBC" w:rsidRDefault="00C27CBC" w:rsidP="00254CA9">
            <w:pPr>
              <w:spacing w:after="0"/>
              <w:jc w:val="both"/>
            </w:pPr>
          </w:p>
        </w:tc>
        <w:tc>
          <w:tcPr>
            <w:tcW w:w="1276" w:type="dxa"/>
            <w:tcBorders>
              <w:left w:val="single" w:sz="4" w:space="0" w:color="auto"/>
              <w:right w:val="single" w:sz="4" w:space="0" w:color="auto"/>
            </w:tcBorders>
          </w:tcPr>
          <w:p w:rsidR="00C27CBC" w:rsidRDefault="00C27CBC" w:rsidP="00254CA9">
            <w:pPr>
              <w:spacing w:after="0"/>
              <w:jc w:val="both"/>
            </w:pPr>
          </w:p>
        </w:tc>
        <w:tc>
          <w:tcPr>
            <w:tcW w:w="1276" w:type="dxa"/>
            <w:tcBorders>
              <w:left w:val="single" w:sz="4" w:space="0" w:color="auto"/>
              <w:right w:val="single" w:sz="4" w:space="0" w:color="auto"/>
            </w:tcBorders>
          </w:tcPr>
          <w:p w:rsidR="00C27CBC" w:rsidRDefault="00C27CBC" w:rsidP="00254CA9">
            <w:pPr>
              <w:spacing w:after="0"/>
              <w:jc w:val="both"/>
            </w:pPr>
          </w:p>
        </w:tc>
        <w:tc>
          <w:tcPr>
            <w:tcW w:w="1967" w:type="dxa"/>
            <w:tcBorders>
              <w:left w:val="single" w:sz="4" w:space="0" w:color="auto"/>
              <w:right w:val="single" w:sz="4" w:space="0" w:color="auto"/>
            </w:tcBorders>
          </w:tcPr>
          <w:p w:rsidR="00C27CBC" w:rsidRDefault="00C27CBC" w:rsidP="00254CA9">
            <w:pPr>
              <w:spacing w:after="0"/>
              <w:jc w:val="both"/>
            </w:pPr>
          </w:p>
        </w:tc>
        <w:tc>
          <w:tcPr>
            <w:tcW w:w="1295" w:type="dxa"/>
            <w:tcBorders>
              <w:left w:val="single" w:sz="4" w:space="0" w:color="auto"/>
            </w:tcBorders>
          </w:tcPr>
          <w:p w:rsidR="00C27CBC" w:rsidRDefault="00C27CBC" w:rsidP="00254CA9">
            <w:pPr>
              <w:spacing w:after="0"/>
              <w:jc w:val="both"/>
            </w:pPr>
          </w:p>
        </w:tc>
      </w:tr>
      <w:tr w:rsidR="00C27CBC" w:rsidTr="00254CA9">
        <w:trPr>
          <w:trHeight w:val="397"/>
        </w:trPr>
        <w:tc>
          <w:tcPr>
            <w:tcW w:w="2122" w:type="dxa"/>
          </w:tcPr>
          <w:p w:rsidR="00C27CBC" w:rsidRDefault="00C27CBC" w:rsidP="00254CA9">
            <w:pPr>
              <w:spacing w:after="0"/>
              <w:jc w:val="both"/>
            </w:pPr>
          </w:p>
          <w:p w:rsidR="00C27CBC" w:rsidRDefault="00C27CBC" w:rsidP="00254CA9">
            <w:pPr>
              <w:spacing w:after="0"/>
              <w:jc w:val="both"/>
            </w:pPr>
          </w:p>
        </w:tc>
        <w:tc>
          <w:tcPr>
            <w:tcW w:w="2126" w:type="dxa"/>
          </w:tcPr>
          <w:p w:rsidR="00C27CBC" w:rsidRDefault="00C27CBC" w:rsidP="00254CA9">
            <w:pPr>
              <w:spacing w:after="0"/>
              <w:jc w:val="both"/>
            </w:pPr>
          </w:p>
        </w:tc>
        <w:tc>
          <w:tcPr>
            <w:tcW w:w="1984" w:type="dxa"/>
          </w:tcPr>
          <w:p w:rsidR="00C27CBC" w:rsidRDefault="00C27CBC" w:rsidP="00254CA9">
            <w:pPr>
              <w:spacing w:after="0"/>
              <w:jc w:val="both"/>
            </w:pPr>
          </w:p>
        </w:tc>
        <w:tc>
          <w:tcPr>
            <w:tcW w:w="1843" w:type="dxa"/>
            <w:tcBorders>
              <w:right w:val="single" w:sz="4" w:space="0" w:color="auto"/>
            </w:tcBorders>
          </w:tcPr>
          <w:p w:rsidR="00C27CBC" w:rsidRDefault="00C27CBC" w:rsidP="00254CA9">
            <w:pPr>
              <w:spacing w:after="0"/>
              <w:jc w:val="both"/>
            </w:pPr>
          </w:p>
        </w:tc>
        <w:tc>
          <w:tcPr>
            <w:tcW w:w="1276" w:type="dxa"/>
            <w:tcBorders>
              <w:left w:val="single" w:sz="4" w:space="0" w:color="auto"/>
              <w:right w:val="single" w:sz="4" w:space="0" w:color="auto"/>
            </w:tcBorders>
          </w:tcPr>
          <w:p w:rsidR="00C27CBC" w:rsidRDefault="00C27CBC" w:rsidP="00254CA9">
            <w:pPr>
              <w:spacing w:after="0"/>
              <w:jc w:val="both"/>
            </w:pPr>
          </w:p>
        </w:tc>
        <w:tc>
          <w:tcPr>
            <w:tcW w:w="1276" w:type="dxa"/>
            <w:tcBorders>
              <w:left w:val="single" w:sz="4" w:space="0" w:color="auto"/>
              <w:right w:val="single" w:sz="4" w:space="0" w:color="auto"/>
            </w:tcBorders>
          </w:tcPr>
          <w:p w:rsidR="00C27CBC" w:rsidRDefault="00C27CBC" w:rsidP="00254CA9">
            <w:pPr>
              <w:spacing w:after="0"/>
              <w:jc w:val="both"/>
            </w:pPr>
          </w:p>
        </w:tc>
        <w:tc>
          <w:tcPr>
            <w:tcW w:w="1967" w:type="dxa"/>
            <w:tcBorders>
              <w:left w:val="single" w:sz="4" w:space="0" w:color="auto"/>
              <w:right w:val="single" w:sz="4" w:space="0" w:color="auto"/>
            </w:tcBorders>
          </w:tcPr>
          <w:p w:rsidR="00C27CBC" w:rsidRDefault="00C27CBC" w:rsidP="00254CA9">
            <w:pPr>
              <w:spacing w:after="0"/>
              <w:jc w:val="both"/>
            </w:pPr>
          </w:p>
        </w:tc>
        <w:tc>
          <w:tcPr>
            <w:tcW w:w="1295" w:type="dxa"/>
            <w:tcBorders>
              <w:left w:val="single" w:sz="4" w:space="0" w:color="auto"/>
            </w:tcBorders>
          </w:tcPr>
          <w:p w:rsidR="00C27CBC" w:rsidRDefault="00C27CBC" w:rsidP="00254CA9">
            <w:pPr>
              <w:spacing w:after="0"/>
              <w:jc w:val="both"/>
            </w:pPr>
          </w:p>
        </w:tc>
      </w:tr>
      <w:tr w:rsidR="00C27CBC" w:rsidTr="00254CA9">
        <w:trPr>
          <w:trHeight w:val="397"/>
        </w:trPr>
        <w:tc>
          <w:tcPr>
            <w:tcW w:w="2122" w:type="dxa"/>
          </w:tcPr>
          <w:p w:rsidR="00C27CBC" w:rsidRDefault="00C27CBC" w:rsidP="00254CA9">
            <w:pPr>
              <w:spacing w:after="0"/>
              <w:jc w:val="both"/>
            </w:pPr>
          </w:p>
          <w:p w:rsidR="00C27CBC" w:rsidRDefault="00C27CBC" w:rsidP="00254CA9">
            <w:pPr>
              <w:spacing w:after="0"/>
              <w:jc w:val="both"/>
            </w:pPr>
          </w:p>
        </w:tc>
        <w:tc>
          <w:tcPr>
            <w:tcW w:w="2126" w:type="dxa"/>
          </w:tcPr>
          <w:p w:rsidR="00C27CBC" w:rsidRDefault="00C27CBC" w:rsidP="00254CA9">
            <w:pPr>
              <w:spacing w:after="0"/>
              <w:jc w:val="both"/>
            </w:pPr>
          </w:p>
        </w:tc>
        <w:tc>
          <w:tcPr>
            <w:tcW w:w="1984" w:type="dxa"/>
          </w:tcPr>
          <w:p w:rsidR="00C27CBC" w:rsidRDefault="00C27CBC" w:rsidP="00254CA9">
            <w:pPr>
              <w:spacing w:after="0"/>
              <w:jc w:val="both"/>
            </w:pPr>
          </w:p>
        </w:tc>
        <w:tc>
          <w:tcPr>
            <w:tcW w:w="1843" w:type="dxa"/>
            <w:tcBorders>
              <w:right w:val="single" w:sz="4" w:space="0" w:color="auto"/>
            </w:tcBorders>
          </w:tcPr>
          <w:p w:rsidR="00C27CBC" w:rsidRDefault="00C27CBC" w:rsidP="00254CA9">
            <w:pPr>
              <w:spacing w:after="0"/>
              <w:jc w:val="both"/>
            </w:pPr>
          </w:p>
        </w:tc>
        <w:tc>
          <w:tcPr>
            <w:tcW w:w="1276" w:type="dxa"/>
            <w:tcBorders>
              <w:left w:val="single" w:sz="4" w:space="0" w:color="auto"/>
              <w:right w:val="single" w:sz="4" w:space="0" w:color="auto"/>
            </w:tcBorders>
          </w:tcPr>
          <w:p w:rsidR="00C27CBC" w:rsidRDefault="00C27CBC" w:rsidP="00254CA9">
            <w:pPr>
              <w:spacing w:after="0"/>
              <w:jc w:val="both"/>
            </w:pPr>
          </w:p>
        </w:tc>
        <w:tc>
          <w:tcPr>
            <w:tcW w:w="1276" w:type="dxa"/>
            <w:tcBorders>
              <w:left w:val="single" w:sz="4" w:space="0" w:color="auto"/>
              <w:right w:val="single" w:sz="4" w:space="0" w:color="auto"/>
            </w:tcBorders>
          </w:tcPr>
          <w:p w:rsidR="00C27CBC" w:rsidRDefault="00C27CBC" w:rsidP="00254CA9">
            <w:pPr>
              <w:spacing w:after="0"/>
              <w:jc w:val="both"/>
            </w:pPr>
          </w:p>
        </w:tc>
        <w:tc>
          <w:tcPr>
            <w:tcW w:w="1967" w:type="dxa"/>
            <w:tcBorders>
              <w:left w:val="single" w:sz="4" w:space="0" w:color="auto"/>
              <w:right w:val="single" w:sz="4" w:space="0" w:color="auto"/>
            </w:tcBorders>
          </w:tcPr>
          <w:p w:rsidR="00C27CBC" w:rsidRDefault="00C27CBC" w:rsidP="00254CA9">
            <w:pPr>
              <w:spacing w:after="0"/>
              <w:jc w:val="both"/>
            </w:pPr>
          </w:p>
        </w:tc>
        <w:tc>
          <w:tcPr>
            <w:tcW w:w="1295" w:type="dxa"/>
            <w:tcBorders>
              <w:left w:val="single" w:sz="4" w:space="0" w:color="auto"/>
            </w:tcBorders>
          </w:tcPr>
          <w:p w:rsidR="00C27CBC" w:rsidRDefault="00C27CBC" w:rsidP="00254CA9">
            <w:pPr>
              <w:spacing w:after="0"/>
              <w:jc w:val="both"/>
            </w:pPr>
          </w:p>
        </w:tc>
      </w:tr>
      <w:tr w:rsidR="00C27CBC" w:rsidTr="00254CA9">
        <w:trPr>
          <w:trHeight w:val="397"/>
        </w:trPr>
        <w:tc>
          <w:tcPr>
            <w:tcW w:w="2122" w:type="dxa"/>
          </w:tcPr>
          <w:p w:rsidR="00C27CBC" w:rsidRDefault="00C27CBC" w:rsidP="00254CA9">
            <w:pPr>
              <w:spacing w:after="0"/>
              <w:jc w:val="both"/>
            </w:pPr>
          </w:p>
          <w:p w:rsidR="00C27CBC" w:rsidRDefault="00C27CBC" w:rsidP="00254CA9">
            <w:pPr>
              <w:spacing w:after="0"/>
              <w:jc w:val="both"/>
            </w:pPr>
          </w:p>
        </w:tc>
        <w:tc>
          <w:tcPr>
            <w:tcW w:w="2126" w:type="dxa"/>
          </w:tcPr>
          <w:p w:rsidR="00C27CBC" w:rsidRDefault="00C27CBC" w:rsidP="00254CA9">
            <w:pPr>
              <w:spacing w:after="0"/>
              <w:jc w:val="both"/>
            </w:pPr>
          </w:p>
        </w:tc>
        <w:tc>
          <w:tcPr>
            <w:tcW w:w="1984" w:type="dxa"/>
          </w:tcPr>
          <w:p w:rsidR="00C27CBC" w:rsidRDefault="00C27CBC" w:rsidP="00254CA9">
            <w:pPr>
              <w:spacing w:after="0"/>
              <w:jc w:val="both"/>
            </w:pPr>
          </w:p>
        </w:tc>
        <w:tc>
          <w:tcPr>
            <w:tcW w:w="1843" w:type="dxa"/>
            <w:tcBorders>
              <w:right w:val="single" w:sz="4" w:space="0" w:color="auto"/>
            </w:tcBorders>
          </w:tcPr>
          <w:p w:rsidR="00C27CBC" w:rsidRDefault="00C27CBC" w:rsidP="00254CA9">
            <w:pPr>
              <w:spacing w:after="0"/>
              <w:jc w:val="both"/>
            </w:pPr>
          </w:p>
        </w:tc>
        <w:tc>
          <w:tcPr>
            <w:tcW w:w="1276" w:type="dxa"/>
            <w:tcBorders>
              <w:right w:val="single" w:sz="4" w:space="0" w:color="auto"/>
            </w:tcBorders>
          </w:tcPr>
          <w:p w:rsidR="00C27CBC" w:rsidRDefault="00C27CBC" w:rsidP="00254CA9">
            <w:pPr>
              <w:spacing w:after="0"/>
              <w:jc w:val="both"/>
            </w:pPr>
          </w:p>
        </w:tc>
        <w:tc>
          <w:tcPr>
            <w:tcW w:w="1276" w:type="dxa"/>
            <w:tcBorders>
              <w:left w:val="single" w:sz="4" w:space="0" w:color="auto"/>
              <w:right w:val="single" w:sz="4" w:space="0" w:color="auto"/>
            </w:tcBorders>
          </w:tcPr>
          <w:p w:rsidR="00C27CBC" w:rsidRDefault="00C27CBC" w:rsidP="00254CA9">
            <w:pPr>
              <w:spacing w:after="0"/>
              <w:jc w:val="both"/>
            </w:pPr>
          </w:p>
        </w:tc>
        <w:tc>
          <w:tcPr>
            <w:tcW w:w="1967" w:type="dxa"/>
            <w:tcBorders>
              <w:left w:val="single" w:sz="4" w:space="0" w:color="auto"/>
              <w:right w:val="single" w:sz="4" w:space="0" w:color="auto"/>
            </w:tcBorders>
          </w:tcPr>
          <w:p w:rsidR="00C27CBC" w:rsidRDefault="00C27CBC" w:rsidP="00254CA9">
            <w:pPr>
              <w:spacing w:after="0"/>
              <w:jc w:val="both"/>
            </w:pPr>
          </w:p>
        </w:tc>
        <w:tc>
          <w:tcPr>
            <w:tcW w:w="1295" w:type="dxa"/>
            <w:tcBorders>
              <w:left w:val="single" w:sz="4" w:space="0" w:color="auto"/>
            </w:tcBorders>
          </w:tcPr>
          <w:p w:rsidR="00C27CBC" w:rsidRDefault="00C27CBC" w:rsidP="00254CA9">
            <w:pPr>
              <w:spacing w:after="0"/>
              <w:jc w:val="both"/>
            </w:pPr>
          </w:p>
        </w:tc>
      </w:tr>
      <w:tr w:rsidR="00C27CBC" w:rsidTr="00254CA9">
        <w:trPr>
          <w:trHeight w:val="397"/>
        </w:trPr>
        <w:tc>
          <w:tcPr>
            <w:tcW w:w="2122" w:type="dxa"/>
          </w:tcPr>
          <w:p w:rsidR="00C27CBC" w:rsidRDefault="00C27CBC" w:rsidP="00254CA9">
            <w:pPr>
              <w:spacing w:after="0"/>
              <w:jc w:val="both"/>
            </w:pPr>
          </w:p>
          <w:p w:rsidR="00C27CBC" w:rsidRDefault="00C27CBC" w:rsidP="00254CA9">
            <w:pPr>
              <w:spacing w:after="0"/>
              <w:jc w:val="both"/>
            </w:pPr>
          </w:p>
        </w:tc>
        <w:tc>
          <w:tcPr>
            <w:tcW w:w="2126" w:type="dxa"/>
          </w:tcPr>
          <w:p w:rsidR="00C27CBC" w:rsidRDefault="00C27CBC" w:rsidP="00254CA9">
            <w:pPr>
              <w:spacing w:after="0"/>
              <w:jc w:val="both"/>
            </w:pPr>
          </w:p>
        </w:tc>
        <w:tc>
          <w:tcPr>
            <w:tcW w:w="1984" w:type="dxa"/>
          </w:tcPr>
          <w:p w:rsidR="00C27CBC" w:rsidRDefault="00C27CBC" w:rsidP="00254CA9">
            <w:pPr>
              <w:spacing w:after="0"/>
              <w:jc w:val="both"/>
            </w:pPr>
          </w:p>
        </w:tc>
        <w:tc>
          <w:tcPr>
            <w:tcW w:w="1843" w:type="dxa"/>
            <w:tcBorders>
              <w:right w:val="single" w:sz="4" w:space="0" w:color="auto"/>
            </w:tcBorders>
          </w:tcPr>
          <w:p w:rsidR="00C27CBC" w:rsidRDefault="00C27CBC" w:rsidP="00254CA9">
            <w:pPr>
              <w:spacing w:after="0"/>
              <w:jc w:val="both"/>
            </w:pPr>
          </w:p>
        </w:tc>
        <w:tc>
          <w:tcPr>
            <w:tcW w:w="1276" w:type="dxa"/>
            <w:tcBorders>
              <w:left w:val="single" w:sz="4" w:space="0" w:color="auto"/>
              <w:right w:val="single" w:sz="4" w:space="0" w:color="auto"/>
            </w:tcBorders>
          </w:tcPr>
          <w:p w:rsidR="00C27CBC" w:rsidRDefault="00C27CBC" w:rsidP="00254CA9">
            <w:pPr>
              <w:spacing w:after="0"/>
              <w:jc w:val="both"/>
            </w:pPr>
          </w:p>
        </w:tc>
        <w:tc>
          <w:tcPr>
            <w:tcW w:w="1276" w:type="dxa"/>
            <w:tcBorders>
              <w:left w:val="single" w:sz="4" w:space="0" w:color="auto"/>
              <w:right w:val="single" w:sz="4" w:space="0" w:color="auto"/>
            </w:tcBorders>
          </w:tcPr>
          <w:p w:rsidR="00C27CBC" w:rsidRDefault="00C27CBC" w:rsidP="00254CA9">
            <w:pPr>
              <w:spacing w:after="0"/>
              <w:jc w:val="both"/>
            </w:pPr>
          </w:p>
        </w:tc>
        <w:tc>
          <w:tcPr>
            <w:tcW w:w="1967" w:type="dxa"/>
            <w:tcBorders>
              <w:left w:val="single" w:sz="4" w:space="0" w:color="auto"/>
              <w:right w:val="single" w:sz="4" w:space="0" w:color="auto"/>
            </w:tcBorders>
          </w:tcPr>
          <w:p w:rsidR="00C27CBC" w:rsidRDefault="00C27CBC" w:rsidP="00254CA9">
            <w:pPr>
              <w:spacing w:after="0"/>
              <w:jc w:val="both"/>
            </w:pPr>
          </w:p>
        </w:tc>
        <w:tc>
          <w:tcPr>
            <w:tcW w:w="1295" w:type="dxa"/>
            <w:tcBorders>
              <w:left w:val="single" w:sz="4" w:space="0" w:color="auto"/>
            </w:tcBorders>
          </w:tcPr>
          <w:p w:rsidR="00C27CBC" w:rsidRDefault="00C27CBC" w:rsidP="00254CA9">
            <w:pPr>
              <w:spacing w:after="0"/>
              <w:jc w:val="both"/>
            </w:pPr>
          </w:p>
        </w:tc>
      </w:tr>
      <w:tr w:rsidR="00C27CBC" w:rsidTr="00254CA9">
        <w:trPr>
          <w:trHeight w:val="397"/>
        </w:trPr>
        <w:tc>
          <w:tcPr>
            <w:tcW w:w="2122" w:type="dxa"/>
          </w:tcPr>
          <w:p w:rsidR="00C27CBC" w:rsidRDefault="00C27CBC" w:rsidP="00254CA9">
            <w:pPr>
              <w:spacing w:after="0"/>
              <w:jc w:val="both"/>
            </w:pPr>
          </w:p>
          <w:p w:rsidR="00C27CBC" w:rsidRDefault="00C27CBC" w:rsidP="00254CA9">
            <w:pPr>
              <w:spacing w:after="0"/>
              <w:jc w:val="both"/>
            </w:pPr>
          </w:p>
        </w:tc>
        <w:tc>
          <w:tcPr>
            <w:tcW w:w="2126" w:type="dxa"/>
          </w:tcPr>
          <w:p w:rsidR="00C27CBC" w:rsidRDefault="00C27CBC" w:rsidP="00254CA9">
            <w:pPr>
              <w:spacing w:after="0"/>
              <w:jc w:val="both"/>
            </w:pPr>
          </w:p>
        </w:tc>
        <w:tc>
          <w:tcPr>
            <w:tcW w:w="1984" w:type="dxa"/>
          </w:tcPr>
          <w:p w:rsidR="00C27CBC" w:rsidRDefault="00C27CBC" w:rsidP="00254CA9">
            <w:pPr>
              <w:spacing w:after="0"/>
              <w:jc w:val="both"/>
            </w:pPr>
          </w:p>
        </w:tc>
        <w:tc>
          <w:tcPr>
            <w:tcW w:w="1843" w:type="dxa"/>
            <w:tcBorders>
              <w:right w:val="single" w:sz="4" w:space="0" w:color="auto"/>
            </w:tcBorders>
          </w:tcPr>
          <w:p w:rsidR="00C27CBC" w:rsidRDefault="00C27CBC" w:rsidP="00254CA9">
            <w:pPr>
              <w:spacing w:after="0"/>
              <w:jc w:val="both"/>
            </w:pPr>
          </w:p>
        </w:tc>
        <w:tc>
          <w:tcPr>
            <w:tcW w:w="1276" w:type="dxa"/>
            <w:tcBorders>
              <w:left w:val="single" w:sz="4" w:space="0" w:color="auto"/>
              <w:right w:val="single" w:sz="4" w:space="0" w:color="auto"/>
            </w:tcBorders>
          </w:tcPr>
          <w:p w:rsidR="00C27CBC" w:rsidRDefault="00C27CBC" w:rsidP="00254CA9">
            <w:pPr>
              <w:spacing w:after="0"/>
              <w:jc w:val="both"/>
            </w:pPr>
          </w:p>
        </w:tc>
        <w:tc>
          <w:tcPr>
            <w:tcW w:w="1276" w:type="dxa"/>
            <w:tcBorders>
              <w:left w:val="single" w:sz="4" w:space="0" w:color="auto"/>
              <w:right w:val="single" w:sz="4" w:space="0" w:color="auto"/>
            </w:tcBorders>
          </w:tcPr>
          <w:p w:rsidR="00C27CBC" w:rsidRDefault="00C27CBC" w:rsidP="00254CA9">
            <w:pPr>
              <w:spacing w:after="0"/>
              <w:jc w:val="both"/>
            </w:pPr>
          </w:p>
        </w:tc>
        <w:tc>
          <w:tcPr>
            <w:tcW w:w="1967" w:type="dxa"/>
            <w:tcBorders>
              <w:left w:val="single" w:sz="4" w:space="0" w:color="auto"/>
              <w:right w:val="single" w:sz="4" w:space="0" w:color="auto"/>
            </w:tcBorders>
          </w:tcPr>
          <w:p w:rsidR="00C27CBC" w:rsidRDefault="00C27CBC" w:rsidP="00254CA9">
            <w:pPr>
              <w:spacing w:after="0"/>
              <w:jc w:val="both"/>
            </w:pPr>
          </w:p>
        </w:tc>
        <w:tc>
          <w:tcPr>
            <w:tcW w:w="1295" w:type="dxa"/>
            <w:tcBorders>
              <w:left w:val="single" w:sz="4" w:space="0" w:color="auto"/>
            </w:tcBorders>
          </w:tcPr>
          <w:p w:rsidR="00C27CBC" w:rsidRDefault="00C27CBC" w:rsidP="00254CA9">
            <w:pPr>
              <w:spacing w:after="0"/>
              <w:jc w:val="both"/>
            </w:pPr>
          </w:p>
        </w:tc>
      </w:tr>
    </w:tbl>
    <w:p w:rsidR="00C27CBC" w:rsidRPr="000F0F69" w:rsidRDefault="00C27CBC" w:rsidP="00C27CBC">
      <w:pPr>
        <w:spacing w:before="240" w:after="0"/>
        <w:rPr>
          <w:rFonts w:cs="Arial"/>
          <w:sz w:val="18"/>
          <w:szCs w:val="18"/>
        </w:rPr>
      </w:pPr>
      <w:r>
        <w:rPr>
          <w:rFonts w:cs="Arial"/>
          <w:sz w:val="18"/>
          <w:szCs w:val="18"/>
        </w:rPr>
        <w:t>*</w:t>
      </w:r>
      <w:r w:rsidRPr="000F0F69">
        <w:rPr>
          <w:rFonts w:cs="Arial"/>
          <w:sz w:val="18"/>
          <w:szCs w:val="18"/>
        </w:rPr>
        <w:t>Append additional pages as required</w:t>
      </w:r>
      <w:r>
        <w:rPr>
          <w:rFonts w:cs="Arial"/>
          <w:sz w:val="18"/>
          <w:szCs w:val="18"/>
        </w:rPr>
        <w:t>.</w:t>
      </w:r>
      <w:r>
        <w:rPr>
          <w:rFonts w:cs="Arial"/>
          <w:sz w:val="18"/>
          <w:szCs w:val="18"/>
        </w:rPr>
        <w:tab/>
      </w:r>
      <w:r>
        <w:rPr>
          <w:rFonts w:cs="Arial"/>
          <w:sz w:val="18"/>
          <w:szCs w:val="18"/>
        </w:rPr>
        <w:tab/>
        <w:t>** Strike though this page if submitting a null return.</w:t>
      </w:r>
    </w:p>
    <w:p w:rsidR="00C27CBC" w:rsidRDefault="00C27CBC" w:rsidP="00C27CBC">
      <w:pPr>
        <w:jc w:val="center"/>
        <w:rPr>
          <w:rFonts w:cs="Arial"/>
          <w:b/>
          <w:sz w:val="24"/>
        </w:rPr>
      </w:pPr>
    </w:p>
    <w:p w:rsidR="00C27CBC" w:rsidRPr="009449F8" w:rsidRDefault="00C27CBC" w:rsidP="00C27CBC">
      <w:pPr>
        <w:jc w:val="center"/>
        <w:rPr>
          <w:rFonts w:cs="Arial"/>
          <w:b/>
          <w:sz w:val="24"/>
        </w:rPr>
      </w:pPr>
      <w:r w:rsidRPr="00D71CD0">
        <w:rPr>
          <w:rFonts w:cs="Arial"/>
          <w:b/>
          <w:sz w:val="24"/>
        </w:rPr>
        <w:lastRenderedPageBreak/>
        <w:t>CWC Schedule 1 Declaration Form</w:t>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t>Page 2 of 2</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tbl>
      <w:tblPr>
        <w:tblW w:w="0" w:type="auto"/>
        <w:tblInd w:w="108" w:type="dxa"/>
        <w:tblLayout w:type="fixed"/>
        <w:tblLook w:val="0000" w:firstRow="0" w:lastRow="0" w:firstColumn="0" w:lastColumn="0" w:noHBand="0" w:noVBand="0"/>
      </w:tblPr>
      <w:tblGrid>
        <w:gridCol w:w="2622"/>
        <w:gridCol w:w="6512"/>
      </w:tblGrid>
      <w:tr w:rsidR="00C27CBC" w:rsidTr="00254CA9">
        <w:trPr>
          <w:cantSplit/>
          <w:trHeight w:val="485"/>
        </w:trPr>
        <w:tc>
          <w:tcPr>
            <w:tcW w:w="2622" w:type="dxa"/>
            <w:vAlign w:val="center"/>
          </w:tcPr>
          <w:p w:rsidR="00C27CBC" w:rsidRPr="009449F8" w:rsidRDefault="00C27CBC" w:rsidP="00254CA9">
            <w:pPr>
              <w:tabs>
                <w:tab w:val="clear" w:pos="9356"/>
                <w:tab w:val="left" w:pos="-1440"/>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000"/>
                <w:tab w:val="left" w:pos="9360"/>
              </w:tabs>
              <w:suppressAutoHyphens/>
              <w:spacing w:after="0"/>
              <w:jc w:val="both"/>
              <w:rPr>
                <w:b/>
              </w:rPr>
            </w:pPr>
            <w:r w:rsidRPr="009449F8">
              <w:rPr>
                <w:b/>
              </w:rPr>
              <w:t>DEPARTMENT/UNIT:</w:t>
            </w:r>
          </w:p>
        </w:tc>
        <w:tc>
          <w:tcPr>
            <w:tcW w:w="6512" w:type="dxa"/>
          </w:tcPr>
          <w:p w:rsidR="00C27CBC" w:rsidRDefault="00C27CBC" w:rsidP="00254CA9">
            <w:pPr>
              <w:tabs>
                <w:tab w:val="clear" w:pos="9356"/>
                <w:tab w:val="left" w:pos="-1440"/>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000"/>
                <w:tab w:val="left" w:pos="9360"/>
              </w:tabs>
              <w:suppressAutoHyphens/>
              <w:spacing w:after="0"/>
              <w:jc w:val="both"/>
            </w:pPr>
          </w:p>
          <w:p w:rsidR="00C27CBC" w:rsidRDefault="00C27CBC" w:rsidP="00254CA9">
            <w:pPr>
              <w:tabs>
                <w:tab w:val="clear" w:pos="9356"/>
                <w:tab w:val="left" w:pos="-1440"/>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000"/>
                <w:tab w:val="left" w:pos="9360"/>
              </w:tabs>
              <w:suppressAutoHyphens/>
              <w:spacing w:after="0"/>
              <w:jc w:val="both"/>
            </w:pPr>
            <w:r>
              <w:t>……………………………………………………………………</w:t>
            </w:r>
          </w:p>
        </w:tc>
      </w:tr>
      <w:tr w:rsidR="00C27CBC" w:rsidTr="00254CA9">
        <w:trPr>
          <w:cantSplit/>
          <w:trHeight w:val="485"/>
        </w:trPr>
        <w:tc>
          <w:tcPr>
            <w:tcW w:w="2622" w:type="dxa"/>
            <w:vAlign w:val="center"/>
          </w:tcPr>
          <w:p w:rsidR="00C27CBC" w:rsidRPr="009449F8" w:rsidRDefault="00C27CBC" w:rsidP="00254CA9">
            <w:pPr>
              <w:tabs>
                <w:tab w:val="clear" w:pos="9356"/>
                <w:tab w:val="left" w:pos="-1440"/>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000"/>
                <w:tab w:val="left" w:pos="9360"/>
              </w:tabs>
              <w:suppressAutoHyphens/>
              <w:spacing w:after="0"/>
              <w:jc w:val="both"/>
              <w:rPr>
                <w:b/>
              </w:rPr>
            </w:pPr>
            <w:r w:rsidRPr="009449F8">
              <w:rPr>
                <w:b/>
              </w:rPr>
              <w:t>PRINT NAME:</w:t>
            </w:r>
          </w:p>
        </w:tc>
        <w:tc>
          <w:tcPr>
            <w:tcW w:w="6512" w:type="dxa"/>
          </w:tcPr>
          <w:p w:rsidR="00C27CBC" w:rsidRDefault="00C27CBC" w:rsidP="00254CA9">
            <w:pPr>
              <w:tabs>
                <w:tab w:val="clear" w:pos="9356"/>
                <w:tab w:val="left" w:pos="-1440"/>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000"/>
                <w:tab w:val="left" w:pos="9360"/>
              </w:tabs>
              <w:suppressAutoHyphens/>
              <w:spacing w:after="0"/>
              <w:jc w:val="both"/>
            </w:pPr>
          </w:p>
          <w:p w:rsidR="00C27CBC" w:rsidRDefault="00C27CBC" w:rsidP="00254CA9">
            <w:pPr>
              <w:tabs>
                <w:tab w:val="clear" w:pos="9356"/>
                <w:tab w:val="left" w:pos="-1440"/>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000"/>
                <w:tab w:val="left" w:pos="9360"/>
              </w:tabs>
              <w:suppressAutoHyphens/>
              <w:spacing w:after="0"/>
              <w:jc w:val="both"/>
            </w:pPr>
            <w:r>
              <w:t>……………………………………………………………………</w:t>
            </w:r>
          </w:p>
        </w:tc>
      </w:tr>
      <w:tr w:rsidR="00C27CBC" w:rsidTr="00254CA9">
        <w:trPr>
          <w:cantSplit/>
          <w:trHeight w:val="485"/>
        </w:trPr>
        <w:tc>
          <w:tcPr>
            <w:tcW w:w="2622" w:type="dxa"/>
            <w:vAlign w:val="center"/>
          </w:tcPr>
          <w:p w:rsidR="00C27CBC" w:rsidRPr="009449F8" w:rsidRDefault="00C27CBC" w:rsidP="00254CA9">
            <w:pPr>
              <w:tabs>
                <w:tab w:val="clear" w:pos="9356"/>
                <w:tab w:val="left" w:pos="-1440"/>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000"/>
                <w:tab w:val="left" w:pos="9360"/>
              </w:tabs>
              <w:suppressAutoHyphens/>
              <w:spacing w:after="0"/>
              <w:jc w:val="both"/>
              <w:rPr>
                <w:b/>
              </w:rPr>
            </w:pPr>
            <w:r w:rsidRPr="009449F8">
              <w:rPr>
                <w:b/>
              </w:rPr>
              <w:t>SIGNATURE:</w:t>
            </w:r>
          </w:p>
        </w:tc>
        <w:tc>
          <w:tcPr>
            <w:tcW w:w="6512" w:type="dxa"/>
          </w:tcPr>
          <w:p w:rsidR="00C27CBC" w:rsidRDefault="00C27CBC" w:rsidP="00254CA9">
            <w:pPr>
              <w:tabs>
                <w:tab w:val="clear" w:pos="9356"/>
                <w:tab w:val="left" w:pos="-1440"/>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000"/>
                <w:tab w:val="left" w:pos="9360"/>
              </w:tabs>
              <w:suppressAutoHyphens/>
              <w:spacing w:after="0"/>
              <w:jc w:val="both"/>
            </w:pPr>
          </w:p>
          <w:p w:rsidR="00C27CBC" w:rsidRDefault="00C27CBC" w:rsidP="00254CA9">
            <w:pPr>
              <w:tabs>
                <w:tab w:val="clear" w:pos="9356"/>
                <w:tab w:val="left" w:pos="-1440"/>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000"/>
                <w:tab w:val="left" w:pos="9360"/>
              </w:tabs>
              <w:suppressAutoHyphens/>
              <w:spacing w:after="0"/>
              <w:jc w:val="both"/>
            </w:pPr>
            <w:r>
              <w:t>……………………………………………………………………</w:t>
            </w:r>
          </w:p>
        </w:tc>
      </w:tr>
      <w:tr w:rsidR="00C27CBC" w:rsidTr="00254CA9">
        <w:trPr>
          <w:cantSplit/>
          <w:trHeight w:val="485"/>
        </w:trPr>
        <w:tc>
          <w:tcPr>
            <w:tcW w:w="2622" w:type="dxa"/>
            <w:vAlign w:val="center"/>
          </w:tcPr>
          <w:p w:rsidR="00C27CBC" w:rsidRPr="009449F8" w:rsidRDefault="00C27CBC" w:rsidP="00254CA9">
            <w:pPr>
              <w:tabs>
                <w:tab w:val="clear" w:pos="9356"/>
                <w:tab w:val="left" w:pos="-1440"/>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000"/>
                <w:tab w:val="left" w:pos="9360"/>
              </w:tabs>
              <w:suppressAutoHyphens/>
              <w:spacing w:after="0"/>
              <w:jc w:val="both"/>
              <w:rPr>
                <w:b/>
              </w:rPr>
            </w:pPr>
            <w:r w:rsidRPr="009449F8">
              <w:rPr>
                <w:b/>
              </w:rPr>
              <w:t>POSITION:</w:t>
            </w:r>
          </w:p>
        </w:tc>
        <w:tc>
          <w:tcPr>
            <w:tcW w:w="6512" w:type="dxa"/>
          </w:tcPr>
          <w:p w:rsidR="00C27CBC" w:rsidRDefault="00C27CBC" w:rsidP="00254CA9">
            <w:pPr>
              <w:tabs>
                <w:tab w:val="clear" w:pos="9356"/>
                <w:tab w:val="left" w:pos="-1440"/>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000"/>
                <w:tab w:val="left" w:pos="9360"/>
              </w:tabs>
              <w:suppressAutoHyphens/>
              <w:spacing w:after="0"/>
              <w:jc w:val="both"/>
            </w:pPr>
          </w:p>
          <w:p w:rsidR="00C27CBC" w:rsidRDefault="00C27CBC" w:rsidP="00254CA9">
            <w:pPr>
              <w:tabs>
                <w:tab w:val="clear" w:pos="9356"/>
                <w:tab w:val="left" w:pos="-1440"/>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000"/>
                <w:tab w:val="left" w:pos="9360"/>
              </w:tabs>
              <w:suppressAutoHyphens/>
              <w:spacing w:after="0"/>
              <w:jc w:val="both"/>
            </w:pPr>
            <w:r>
              <w:t>……………………………………………………………………</w:t>
            </w:r>
          </w:p>
        </w:tc>
      </w:tr>
      <w:tr w:rsidR="00C27CBC" w:rsidTr="00254CA9">
        <w:trPr>
          <w:cantSplit/>
          <w:trHeight w:val="485"/>
        </w:trPr>
        <w:tc>
          <w:tcPr>
            <w:tcW w:w="2622" w:type="dxa"/>
            <w:vAlign w:val="center"/>
          </w:tcPr>
          <w:p w:rsidR="00C27CBC" w:rsidRDefault="00C27CBC" w:rsidP="00254CA9">
            <w:pPr>
              <w:tabs>
                <w:tab w:val="clear" w:pos="9356"/>
                <w:tab w:val="left" w:pos="-1440"/>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000"/>
                <w:tab w:val="left" w:pos="9360"/>
              </w:tabs>
              <w:suppressAutoHyphens/>
              <w:spacing w:after="0"/>
              <w:jc w:val="both"/>
              <w:rPr>
                <w:b/>
              </w:rPr>
            </w:pPr>
          </w:p>
        </w:tc>
        <w:tc>
          <w:tcPr>
            <w:tcW w:w="6512" w:type="dxa"/>
          </w:tcPr>
          <w:p w:rsidR="00C27CBC" w:rsidRDefault="00C27CBC" w:rsidP="00254CA9">
            <w:pPr>
              <w:tabs>
                <w:tab w:val="clear" w:pos="9356"/>
                <w:tab w:val="left" w:pos="-1440"/>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right" w:pos="9000"/>
                <w:tab w:val="left" w:pos="9360"/>
              </w:tabs>
              <w:suppressAutoHyphens/>
              <w:spacing w:after="0"/>
              <w:jc w:val="both"/>
            </w:pPr>
          </w:p>
        </w:tc>
      </w:tr>
    </w:tbl>
    <w:p w:rsidR="00C27CBC" w:rsidRDefault="00C27CBC" w:rsidP="00C27CBC">
      <w:pPr>
        <w:spacing w:after="120"/>
        <w:jc w:val="both"/>
        <w:rPr>
          <w:rFonts w:cs="Arial"/>
          <w:b/>
        </w:rPr>
      </w:pPr>
      <w:r>
        <w:rPr>
          <w:rFonts w:cs="Arial"/>
          <w:b/>
          <w:noProof/>
          <w:lang w:eastAsia="en-GB"/>
        </w:rPr>
        <mc:AlternateContent>
          <mc:Choice Requires="wps">
            <w:drawing>
              <wp:anchor distT="0" distB="0" distL="114300" distR="114300" simplePos="0" relativeHeight="251659264" behindDoc="0" locked="0" layoutInCell="1" allowOverlap="1" wp14:anchorId="1214202D" wp14:editId="29232562">
                <wp:simplePos x="0" y="0"/>
                <wp:positionH relativeFrom="column">
                  <wp:posOffset>7877175</wp:posOffset>
                </wp:positionH>
                <wp:positionV relativeFrom="paragraph">
                  <wp:posOffset>214630</wp:posOffset>
                </wp:positionV>
                <wp:extent cx="552450" cy="2381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552450" cy="2381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464E6" id="Rectangle 2" o:spid="_x0000_s1026" style="position:absolute;margin-left:620.25pt;margin-top:16.9pt;width:43.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" filled="f" strokecolor="black [3213]" strokeweight="1.5pt"/>
            </w:pict>
          </mc:Fallback>
        </mc:AlternateContent>
      </w:r>
      <w:r>
        <w:rPr>
          <w:rFonts w:cs="Arial"/>
          <w:b/>
        </w:rPr>
        <w:t xml:space="preserve"> NULL RETURN</w:t>
      </w:r>
    </w:p>
    <w:p w:rsidR="00C27CBC" w:rsidRDefault="00C27CBC" w:rsidP="00C27CBC">
      <w:pPr>
        <w:spacing w:after="0"/>
        <w:jc w:val="both"/>
        <w:rPr>
          <w:rFonts w:cs="Arial"/>
          <w:b/>
        </w:rPr>
      </w:pPr>
      <w:r>
        <w:rPr>
          <w:rFonts w:cs="Arial"/>
          <w:b/>
        </w:rPr>
        <w:t>This department does NOT hold, use, or produce potentially licensable chemicals under Schedule 1 of the CWC</w:t>
      </w:r>
      <w:r>
        <w:rPr>
          <w:rFonts w:cs="Arial"/>
          <w:b/>
        </w:rPr>
        <w:tab/>
      </w:r>
    </w:p>
    <w:p w:rsidR="00C27CBC" w:rsidRDefault="00C27CBC" w:rsidP="00C27CBC">
      <w:pPr>
        <w:spacing w:after="0"/>
        <w:jc w:val="both"/>
        <w:rPr>
          <w:rFonts w:cs="Arial"/>
          <w:b/>
        </w:rPr>
      </w:pPr>
    </w:p>
    <w:p w:rsidR="00C27CBC" w:rsidRDefault="00C27CBC" w:rsidP="00C27CBC">
      <w:pPr>
        <w:spacing w:after="0"/>
        <w:jc w:val="both"/>
        <w:rPr>
          <w:rFonts w:cs="Arial"/>
          <w:b/>
        </w:rPr>
      </w:pPr>
    </w:p>
    <w:p w:rsidR="00C27CBC" w:rsidRPr="009449F8" w:rsidRDefault="00C27CBC" w:rsidP="00C27CBC">
      <w:pPr>
        <w:spacing w:after="0"/>
        <w:jc w:val="both"/>
        <w:rPr>
          <w:rFonts w:cs="Arial"/>
          <w:b/>
          <w:sz w:val="18"/>
          <w:szCs w:val="18"/>
        </w:rPr>
      </w:pPr>
      <w:r w:rsidRPr="009449F8">
        <w:rPr>
          <w:rFonts w:cs="Arial"/>
          <w:b/>
          <w:sz w:val="18"/>
          <w:szCs w:val="18"/>
        </w:rPr>
        <w:t>Additional notes:</w:t>
      </w:r>
    </w:p>
    <w:p w:rsidR="00C27CBC" w:rsidRPr="009449F8" w:rsidRDefault="00C27CBC" w:rsidP="00C27CBC">
      <w:pPr>
        <w:spacing w:after="0"/>
        <w:jc w:val="both"/>
        <w:rPr>
          <w:rFonts w:cs="Arial"/>
          <w:sz w:val="18"/>
          <w:szCs w:val="18"/>
        </w:rPr>
      </w:pPr>
    </w:p>
    <w:p w:rsidR="00C27CBC" w:rsidRPr="009449F8" w:rsidRDefault="00C27CBC" w:rsidP="00C27CBC">
      <w:pPr>
        <w:pStyle w:val="ListParagraph"/>
        <w:numPr>
          <w:ilvl w:val="0"/>
          <w:numId w:val="6"/>
        </w:numPr>
        <w:jc w:val="both"/>
        <w:rPr>
          <w:rFonts w:cs="Arial"/>
          <w:sz w:val="18"/>
          <w:szCs w:val="18"/>
        </w:rPr>
      </w:pPr>
      <w:r w:rsidRPr="009449F8">
        <w:rPr>
          <w:rFonts w:cs="Arial"/>
          <w:sz w:val="18"/>
          <w:szCs w:val="18"/>
        </w:rPr>
        <w:t xml:space="preserve">A Schedule1 </w:t>
      </w:r>
      <w:r w:rsidRPr="009449F8">
        <w:rPr>
          <w:rFonts w:cs="Arial"/>
          <w:b/>
          <w:sz w:val="18"/>
          <w:szCs w:val="18"/>
        </w:rPr>
        <w:t>Possession and Use license</w:t>
      </w:r>
      <w:r w:rsidRPr="009449F8">
        <w:rPr>
          <w:rFonts w:cs="Arial"/>
          <w:sz w:val="18"/>
          <w:szCs w:val="18"/>
        </w:rPr>
        <w:t xml:space="preserve"> is required even if the material is only being stored or being held for disposal.</w:t>
      </w:r>
    </w:p>
    <w:p w:rsidR="00C27CBC" w:rsidRPr="009449F8" w:rsidRDefault="00C27CBC" w:rsidP="00C27CBC">
      <w:pPr>
        <w:pStyle w:val="ListParagraph"/>
        <w:jc w:val="both"/>
        <w:rPr>
          <w:rFonts w:cs="Arial"/>
          <w:sz w:val="18"/>
          <w:szCs w:val="18"/>
        </w:rPr>
      </w:pPr>
    </w:p>
    <w:p w:rsidR="00C27CBC" w:rsidRPr="009449F8" w:rsidRDefault="00C27CBC" w:rsidP="00C27CBC">
      <w:pPr>
        <w:pStyle w:val="ListParagraph"/>
        <w:numPr>
          <w:ilvl w:val="0"/>
          <w:numId w:val="6"/>
        </w:numPr>
        <w:jc w:val="both"/>
        <w:rPr>
          <w:rFonts w:cs="Arial"/>
          <w:sz w:val="18"/>
          <w:szCs w:val="18"/>
        </w:rPr>
      </w:pPr>
      <w:r w:rsidRPr="009449F8">
        <w:rPr>
          <w:rFonts w:cs="Arial"/>
          <w:sz w:val="18"/>
          <w:szCs w:val="18"/>
        </w:rPr>
        <w:t>Schedule 1 chemical transient intermediates are excluded from the CWC declaration requirements and are therefore NOT licensable, providing they are reacted in their entirety and not isolated.</w:t>
      </w:r>
    </w:p>
    <w:p w:rsidR="00C27CBC" w:rsidRPr="009449F8" w:rsidRDefault="00C27CBC" w:rsidP="00C27CBC">
      <w:pPr>
        <w:pStyle w:val="ListParagraph"/>
        <w:jc w:val="both"/>
        <w:rPr>
          <w:rFonts w:cs="Arial"/>
          <w:sz w:val="18"/>
          <w:szCs w:val="18"/>
        </w:rPr>
      </w:pPr>
    </w:p>
    <w:p w:rsidR="00C27CBC" w:rsidRPr="009449F8" w:rsidRDefault="00C27CBC" w:rsidP="00C27CBC">
      <w:pPr>
        <w:pStyle w:val="ListParagraph"/>
        <w:numPr>
          <w:ilvl w:val="0"/>
          <w:numId w:val="6"/>
        </w:numPr>
        <w:jc w:val="both"/>
        <w:rPr>
          <w:rFonts w:cs="Arial"/>
          <w:sz w:val="18"/>
          <w:szCs w:val="18"/>
        </w:rPr>
      </w:pPr>
      <w:r w:rsidRPr="009449F8">
        <w:rPr>
          <w:rFonts w:cs="Arial"/>
          <w:sz w:val="18"/>
          <w:szCs w:val="18"/>
        </w:rPr>
        <w:t xml:space="preserve">If a Schedule 1 chemical intermediate is isolated, it is considered to be production, and a Schedule 1 </w:t>
      </w:r>
      <w:r w:rsidRPr="009449F8">
        <w:rPr>
          <w:rFonts w:cs="Arial"/>
          <w:b/>
          <w:sz w:val="18"/>
          <w:szCs w:val="18"/>
        </w:rPr>
        <w:t>Production license</w:t>
      </w:r>
      <w:r w:rsidRPr="009449F8">
        <w:rPr>
          <w:rFonts w:cs="Arial"/>
          <w:sz w:val="18"/>
          <w:szCs w:val="18"/>
        </w:rPr>
        <w:t xml:space="preserve"> is required up to an aggregate of &lt;100g per annum. A Schedule1 </w:t>
      </w:r>
      <w:r w:rsidRPr="009449F8">
        <w:rPr>
          <w:rFonts w:cs="Arial"/>
          <w:b/>
          <w:sz w:val="18"/>
          <w:szCs w:val="18"/>
        </w:rPr>
        <w:t xml:space="preserve">Possession and Use license </w:t>
      </w:r>
      <w:r w:rsidRPr="009449F8">
        <w:rPr>
          <w:rFonts w:cs="Arial"/>
          <w:sz w:val="18"/>
          <w:szCs w:val="18"/>
        </w:rPr>
        <w:t>will also be required, to an aggregate of &lt;100g.</w:t>
      </w:r>
    </w:p>
    <w:p w:rsidR="00C27CBC" w:rsidRPr="009449F8" w:rsidRDefault="00C27CBC" w:rsidP="00C27CBC">
      <w:pPr>
        <w:pStyle w:val="ListParagraph"/>
        <w:jc w:val="both"/>
        <w:rPr>
          <w:rFonts w:cs="Arial"/>
          <w:sz w:val="18"/>
          <w:szCs w:val="18"/>
        </w:rPr>
      </w:pPr>
    </w:p>
    <w:p w:rsidR="00C27CBC" w:rsidRPr="009449F8" w:rsidRDefault="00C27CBC" w:rsidP="00C27CBC">
      <w:pPr>
        <w:pStyle w:val="ListParagraph"/>
        <w:numPr>
          <w:ilvl w:val="0"/>
          <w:numId w:val="6"/>
        </w:numPr>
        <w:jc w:val="both"/>
        <w:rPr>
          <w:rFonts w:cs="Arial"/>
          <w:sz w:val="18"/>
          <w:szCs w:val="18"/>
        </w:rPr>
      </w:pPr>
      <w:r w:rsidRPr="009449F8">
        <w:rPr>
          <w:rFonts w:cs="Arial"/>
          <w:sz w:val="18"/>
          <w:szCs w:val="18"/>
        </w:rPr>
        <w:t>The aggregate limit is applied across the University.</w:t>
      </w:r>
    </w:p>
    <w:p w:rsidR="00C27CBC" w:rsidRPr="009449F8" w:rsidRDefault="00C27CBC" w:rsidP="00C27CBC">
      <w:pPr>
        <w:pStyle w:val="ListParagraph"/>
        <w:jc w:val="both"/>
        <w:rPr>
          <w:rFonts w:cs="Arial"/>
          <w:sz w:val="18"/>
          <w:szCs w:val="18"/>
        </w:rPr>
      </w:pPr>
    </w:p>
    <w:p w:rsidR="00C27CBC" w:rsidRPr="009449F8" w:rsidRDefault="00C27CBC" w:rsidP="00C27CBC">
      <w:pPr>
        <w:pStyle w:val="ListParagraph"/>
        <w:numPr>
          <w:ilvl w:val="0"/>
          <w:numId w:val="6"/>
        </w:numPr>
        <w:jc w:val="both"/>
        <w:rPr>
          <w:rFonts w:cs="Arial"/>
          <w:sz w:val="18"/>
          <w:szCs w:val="18"/>
        </w:rPr>
      </w:pPr>
      <w:r w:rsidRPr="009449F8">
        <w:rPr>
          <w:rFonts w:cs="Arial"/>
          <w:sz w:val="18"/>
          <w:szCs w:val="18"/>
        </w:rPr>
        <w:t xml:space="preserve">Any </w:t>
      </w:r>
      <w:r w:rsidRPr="009449F8">
        <w:rPr>
          <w:rFonts w:cs="Arial"/>
          <w:b/>
          <w:sz w:val="18"/>
          <w:szCs w:val="18"/>
        </w:rPr>
        <w:t>production</w:t>
      </w:r>
      <w:r w:rsidRPr="009449F8">
        <w:rPr>
          <w:rFonts w:cs="Arial"/>
          <w:sz w:val="18"/>
          <w:szCs w:val="18"/>
        </w:rPr>
        <w:t xml:space="preserve"> of Schedule 1 chemicals above the 100g aggregate is considered ‘significant’ production and in such a case the University will have to be approved by the UK National Authority, BEIS, and declared to the Organisation for the Prohibition of Chemical Weapons (OPCW) in advance of activity taking place. It will also be subject to a rigorous inspection regime.</w:t>
      </w:r>
    </w:p>
    <w:p w:rsidR="00C27CBC" w:rsidRPr="009449F8" w:rsidRDefault="00C27CBC" w:rsidP="00C27CBC">
      <w:pPr>
        <w:pStyle w:val="ListParagraph"/>
        <w:jc w:val="both"/>
        <w:rPr>
          <w:rFonts w:cs="Arial"/>
          <w:sz w:val="18"/>
          <w:szCs w:val="18"/>
        </w:rPr>
      </w:pPr>
    </w:p>
    <w:p w:rsidR="00C27CBC" w:rsidRPr="009449F8" w:rsidRDefault="00C27CBC" w:rsidP="00C27CBC">
      <w:pPr>
        <w:pStyle w:val="ListParagraph"/>
        <w:numPr>
          <w:ilvl w:val="0"/>
          <w:numId w:val="6"/>
        </w:numPr>
        <w:spacing w:after="120"/>
        <w:ind w:left="714" w:hanging="357"/>
        <w:jc w:val="both"/>
        <w:rPr>
          <w:rFonts w:cs="Arial"/>
          <w:sz w:val="18"/>
          <w:szCs w:val="18"/>
        </w:rPr>
      </w:pPr>
      <w:r w:rsidRPr="009449F8">
        <w:rPr>
          <w:rFonts w:cs="Arial"/>
          <w:sz w:val="18"/>
          <w:szCs w:val="18"/>
        </w:rPr>
        <w:t>One of the exemptions being considered is in relation to HN2 salts, which is only intended to exempt hospitals, pharmacies, production QC, vets and distribution companies from needing licenses to hold, administer, sell medical treatments:</w:t>
      </w:r>
    </w:p>
    <w:p w:rsidR="00C27CBC" w:rsidRPr="000F0F69" w:rsidRDefault="00C27CBC" w:rsidP="00C27CBC">
      <w:pPr>
        <w:spacing w:after="0"/>
        <w:ind w:firstLine="720"/>
        <w:jc w:val="both"/>
        <w:rPr>
          <w:rFonts w:cs="Arial"/>
          <w:i/>
          <w:iCs/>
          <w:sz w:val="20"/>
          <w:szCs w:val="20"/>
          <w:lang w:eastAsia="en-GB"/>
        </w:rPr>
      </w:pPr>
      <w:r w:rsidRPr="000F0F69">
        <w:rPr>
          <w:rFonts w:cs="Arial"/>
          <w:i/>
          <w:iCs/>
          <w:sz w:val="20"/>
          <w:szCs w:val="20"/>
          <w:lang w:eastAsia="en-GB"/>
        </w:rPr>
        <w:t xml:space="preserve"> ‘Salts of bis(2-</w:t>
      </w:r>
      <w:proofErr w:type="gramStart"/>
      <w:r w:rsidRPr="000F0F69">
        <w:rPr>
          <w:rFonts w:cs="Arial"/>
          <w:i/>
          <w:iCs/>
          <w:sz w:val="20"/>
          <w:szCs w:val="20"/>
          <w:lang w:eastAsia="en-GB"/>
        </w:rPr>
        <w:t>chloroethyl)methylamine</w:t>
      </w:r>
      <w:proofErr w:type="gramEnd"/>
      <w:r w:rsidRPr="000F0F69">
        <w:rPr>
          <w:rFonts w:cs="Arial"/>
          <w:i/>
          <w:iCs/>
          <w:sz w:val="20"/>
          <w:szCs w:val="20"/>
          <w:lang w:eastAsia="en-GB"/>
        </w:rPr>
        <w:t xml:space="preserve"> (CAS 51-75-2) may be exempted if their product forms meet all of the following criteria: </w:t>
      </w:r>
    </w:p>
    <w:p w:rsidR="00C27CBC" w:rsidRPr="000F0F69" w:rsidRDefault="00C27CBC" w:rsidP="00C27CBC">
      <w:pPr>
        <w:spacing w:after="0"/>
        <w:ind w:left="720"/>
        <w:jc w:val="both"/>
        <w:rPr>
          <w:rFonts w:cs="Arial"/>
          <w:i/>
          <w:iCs/>
          <w:sz w:val="20"/>
          <w:szCs w:val="20"/>
        </w:rPr>
      </w:pPr>
      <w:r w:rsidRPr="000F0F69">
        <w:rPr>
          <w:rFonts w:cs="Arial"/>
          <w:i/>
          <w:iCs/>
          <w:sz w:val="20"/>
          <w:szCs w:val="20"/>
        </w:rPr>
        <w:lastRenderedPageBreak/>
        <w:t xml:space="preserve">- they are pharmaceutical formulations, or active pharmaceutical ingredients, designed for human or animal administration in the treatment of medical or veterinarian conditions, </w:t>
      </w:r>
      <w:proofErr w:type="gramStart"/>
      <w:r w:rsidRPr="000F0F69">
        <w:rPr>
          <w:rFonts w:cs="Arial"/>
          <w:i/>
          <w:iCs/>
          <w:sz w:val="20"/>
          <w:szCs w:val="20"/>
        </w:rPr>
        <w:t>or  are</w:t>
      </w:r>
      <w:proofErr w:type="gramEnd"/>
      <w:r w:rsidRPr="000F0F69">
        <w:rPr>
          <w:rFonts w:cs="Arial"/>
          <w:i/>
          <w:iCs/>
          <w:sz w:val="20"/>
          <w:szCs w:val="20"/>
        </w:rPr>
        <w:t xml:space="preserve"> for the quality control of these products; and</w:t>
      </w:r>
    </w:p>
    <w:p w:rsidR="00C27CBC" w:rsidRPr="000F0F69" w:rsidRDefault="00C27CBC" w:rsidP="00C27CBC">
      <w:pPr>
        <w:ind w:left="720"/>
        <w:jc w:val="both"/>
        <w:rPr>
          <w:rFonts w:cs="Arial"/>
          <w:i/>
          <w:iCs/>
          <w:sz w:val="20"/>
          <w:szCs w:val="20"/>
        </w:rPr>
      </w:pPr>
      <w:r w:rsidRPr="000F0F69">
        <w:rPr>
          <w:rFonts w:cs="Arial"/>
          <w:i/>
          <w:iCs/>
          <w:sz w:val="20"/>
          <w:szCs w:val="20"/>
        </w:rPr>
        <w:t>- they are authorised by a state authority to be marketed as clinical, medical or veterinary products, or are prescribed by a physician or veterinarian.’</w:t>
      </w:r>
    </w:p>
    <w:p w:rsidR="00C27CBC" w:rsidRPr="00A9145A" w:rsidRDefault="00C27CBC" w:rsidP="00C27CBC">
      <w:pPr>
        <w:ind w:firstLine="360"/>
        <w:jc w:val="both"/>
        <w:rPr>
          <w:rFonts w:cs="Arial"/>
          <w:sz w:val="20"/>
          <w:szCs w:val="20"/>
        </w:rPr>
      </w:pPr>
      <w:r w:rsidRPr="0099688C">
        <w:rPr>
          <w:rFonts w:cs="Arial"/>
          <w:sz w:val="20"/>
          <w:szCs w:val="20"/>
          <w:lang w:eastAsia="en-GB"/>
        </w:rPr>
        <w:t>7.</w:t>
      </w:r>
      <w:r w:rsidRPr="0099688C">
        <w:rPr>
          <w:rFonts w:cs="Arial"/>
          <w:sz w:val="20"/>
          <w:szCs w:val="20"/>
          <w:lang w:eastAsia="en-GB"/>
        </w:rPr>
        <w:tab/>
      </w:r>
      <w:r w:rsidRPr="0099688C">
        <w:rPr>
          <w:rFonts w:cs="Arial"/>
          <w:sz w:val="18"/>
          <w:szCs w:val="18"/>
        </w:rPr>
        <w:t xml:space="preserve">Any HN1 or HN3 salts </w:t>
      </w:r>
      <w:r>
        <w:rPr>
          <w:rFonts w:cs="Arial"/>
          <w:sz w:val="18"/>
          <w:szCs w:val="18"/>
        </w:rPr>
        <w:t xml:space="preserve">that </w:t>
      </w:r>
      <w:r w:rsidRPr="0099688C">
        <w:rPr>
          <w:rFonts w:cs="Arial"/>
          <w:sz w:val="18"/>
          <w:szCs w:val="18"/>
        </w:rPr>
        <w:t>are used for similar purposes</w:t>
      </w:r>
      <w:r>
        <w:rPr>
          <w:rFonts w:cs="Arial"/>
          <w:sz w:val="18"/>
          <w:szCs w:val="18"/>
        </w:rPr>
        <w:t xml:space="preserve"> (note 6)</w:t>
      </w:r>
      <w:r w:rsidRPr="0099688C">
        <w:rPr>
          <w:rFonts w:cs="Arial"/>
          <w:sz w:val="18"/>
          <w:szCs w:val="18"/>
        </w:rPr>
        <w:t xml:space="preserve"> </w:t>
      </w:r>
      <w:r w:rsidRPr="0099688C">
        <w:rPr>
          <w:rFonts w:cs="Arial"/>
          <w:b/>
          <w:sz w:val="18"/>
          <w:szCs w:val="18"/>
        </w:rPr>
        <w:t>may</w:t>
      </w:r>
      <w:r w:rsidRPr="0099688C">
        <w:rPr>
          <w:rFonts w:cs="Arial"/>
          <w:sz w:val="18"/>
          <w:szCs w:val="18"/>
        </w:rPr>
        <w:t xml:space="preserve"> be exempt. Departments should </w:t>
      </w:r>
      <w:r>
        <w:rPr>
          <w:rFonts w:cs="Arial"/>
          <w:sz w:val="18"/>
          <w:szCs w:val="18"/>
        </w:rPr>
        <w:t>provide supporting information</w:t>
      </w:r>
      <w:r w:rsidRPr="0099688C">
        <w:rPr>
          <w:rFonts w:cs="Arial"/>
          <w:sz w:val="20"/>
          <w:szCs w:val="20"/>
        </w:rPr>
        <w:t>.</w:t>
      </w:r>
    </w:p>
    <w:p w:rsidR="00C27CBC" w:rsidRDefault="00C27CBC" w:rsidP="00763290">
      <w:pPr>
        <w:tabs>
          <w:tab w:val="clear" w:pos="567"/>
          <w:tab w:val="clear" w:pos="1134"/>
          <w:tab w:val="clear" w:pos="1701"/>
          <w:tab w:val="clear" w:pos="5670"/>
          <w:tab w:val="clear" w:pos="9356"/>
        </w:tabs>
        <w:spacing w:after="0"/>
        <w:contextualSpacing/>
        <w:jc w:val="both"/>
        <w:rPr>
          <w:rFonts w:eastAsia="Calibri" w:cs="Arial"/>
          <w:szCs w:val="20"/>
        </w:rPr>
      </w:pPr>
    </w:p>
    <w:p w:rsidR="00C27CBC" w:rsidRDefault="00C27CBC" w:rsidP="00763290">
      <w:pPr>
        <w:tabs>
          <w:tab w:val="clear" w:pos="567"/>
          <w:tab w:val="clear" w:pos="1134"/>
          <w:tab w:val="clear" w:pos="1701"/>
          <w:tab w:val="clear" w:pos="5670"/>
          <w:tab w:val="clear" w:pos="9356"/>
        </w:tabs>
        <w:spacing w:after="0"/>
        <w:contextualSpacing/>
        <w:jc w:val="both"/>
        <w:rPr>
          <w:rFonts w:eastAsia="Calibri" w:cs="Arial"/>
          <w:szCs w:val="20"/>
        </w:rPr>
      </w:pPr>
    </w:p>
    <w:p w:rsidR="00C27CBC" w:rsidRDefault="00C27CBC" w:rsidP="00763290">
      <w:pPr>
        <w:tabs>
          <w:tab w:val="clear" w:pos="567"/>
          <w:tab w:val="clear" w:pos="1134"/>
          <w:tab w:val="clear" w:pos="1701"/>
          <w:tab w:val="clear" w:pos="5670"/>
          <w:tab w:val="clear" w:pos="9356"/>
        </w:tabs>
        <w:spacing w:after="0"/>
        <w:contextualSpacing/>
        <w:jc w:val="both"/>
        <w:rPr>
          <w:rFonts w:eastAsia="Calibri" w:cs="Arial"/>
          <w:szCs w:val="20"/>
        </w:rPr>
      </w:pPr>
    </w:p>
    <w:p w:rsidR="00C27CBC" w:rsidRDefault="00C27CBC" w:rsidP="00763290">
      <w:pPr>
        <w:tabs>
          <w:tab w:val="clear" w:pos="567"/>
          <w:tab w:val="clear" w:pos="1134"/>
          <w:tab w:val="clear" w:pos="1701"/>
          <w:tab w:val="clear" w:pos="5670"/>
          <w:tab w:val="clear" w:pos="9356"/>
        </w:tabs>
        <w:spacing w:after="0"/>
        <w:contextualSpacing/>
        <w:jc w:val="both"/>
        <w:rPr>
          <w:rFonts w:eastAsia="Calibri" w:cs="Arial"/>
          <w:szCs w:val="20"/>
        </w:rPr>
      </w:pPr>
    </w:p>
    <w:p w:rsidR="00C27CBC" w:rsidRDefault="00C27CBC" w:rsidP="00763290">
      <w:pPr>
        <w:tabs>
          <w:tab w:val="clear" w:pos="567"/>
          <w:tab w:val="clear" w:pos="1134"/>
          <w:tab w:val="clear" w:pos="1701"/>
          <w:tab w:val="clear" w:pos="5670"/>
          <w:tab w:val="clear" w:pos="9356"/>
        </w:tabs>
        <w:spacing w:after="0"/>
        <w:contextualSpacing/>
        <w:jc w:val="both"/>
        <w:rPr>
          <w:rFonts w:eastAsia="Calibri" w:cs="Arial"/>
          <w:szCs w:val="20"/>
        </w:rPr>
      </w:pPr>
    </w:p>
    <w:p w:rsidR="00C27CBC" w:rsidRDefault="00C27CBC" w:rsidP="00763290">
      <w:pPr>
        <w:tabs>
          <w:tab w:val="clear" w:pos="567"/>
          <w:tab w:val="clear" w:pos="1134"/>
          <w:tab w:val="clear" w:pos="1701"/>
          <w:tab w:val="clear" w:pos="5670"/>
          <w:tab w:val="clear" w:pos="9356"/>
        </w:tabs>
        <w:spacing w:after="0"/>
        <w:contextualSpacing/>
        <w:jc w:val="both"/>
        <w:rPr>
          <w:rFonts w:eastAsia="Calibri" w:cs="Arial"/>
          <w:szCs w:val="20"/>
        </w:rPr>
      </w:pPr>
    </w:p>
    <w:p w:rsidR="00C27CBC" w:rsidRDefault="00C27CBC" w:rsidP="00763290">
      <w:pPr>
        <w:tabs>
          <w:tab w:val="clear" w:pos="567"/>
          <w:tab w:val="clear" w:pos="1134"/>
          <w:tab w:val="clear" w:pos="1701"/>
          <w:tab w:val="clear" w:pos="5670"/>
          <w:tab w:val="clear" w:pos="9356"/>
        </w:tabs>
        <w:spacing w:after="0"/>
        <w:contextualSpacing/>
        <w:jc w:val="both"/>
        <w:rPr>
          <w:rFonts w:eastAsia="Calibri" w:cs="Arial"/>
          <w:szCs w:val="20"/>
        </w:rPr>
      </w:pPr>
    </w:p>
    <w:p w:rsidR="00C27CBC" w:rsidRDefault="00C27CBC" w:rsidP="00763290">
      <w:pPr>
        <w:tabs>
          <w:tab w:val="clear" w:pos="567"/>
          <w:tab w:val="clear" w:pos="1134"/>
          <w:tab w:val="clear" w:pos="1701"/>
          <w:tab w:val="clear" w:pos="5670"/>
          <w:tab w:val="clear" w:pos="9356"/>
        </w:tabs>
        <w:spacing w:after="0"/>
        <w:contextualSpacing/>
        <w:jc w:val="both"/>
        <w:rPr>
          <w:rFonts w:eastAsia="Calibri" w:cs="Arial"/>
          <w:szCs w:val="20"/>
        </w:rPr>
      </w:pPr>
    </w:p>
    <w:p w:rsidR="00C27CBC" w:rsidRDefault="00C27CBC" w:rsidP="00763290">
      <w:pPr>
        <w:tabs>
          <w:tab w:val="clear" w:pos="567"/>
          <w:tab w:val="clear" w:pos="1134"/>
          <w:tab w:val="clear" w:pos="1701"/>
          <w:tab w:val="clear" w:pos="5670"/>
          <w:tab w:val="clear" w:pos="9356"/>
        </w:tabs>
        <w:spacing w:after="0"/>
        <w:contextualSpacing/>
        <w:jc w:val="both"/>
        <w:rPr>
          <w:rFonts w:eastAsia="Calibri" w:cs="Arial"/>
          <w:szCs w:val="20"/>
        </w:rPr>
      </w:pPr>
    </w:p>
    <w:p w:rsidR="00C27CBC" w:rsidRDefault="00C27CBC" w:rsidP="00763290">
      <w:pPr>
        <w:tabs>
          <w:tab w:val="clear" w:pos="567"/>
          <w:tab w:val="clear" w:pos="1134"/>
          <w:tab w:val="clear" w:pos="1701"/>
          <w:tab w:val="clear" w:pos="5670"/>
          <w:tab w:val="clear" w:pos="9356"/>
        </w:tabs>
        <w:spacing w:after="0"/>
        <w:contextualSpacing/>
        <w:jc w:val="both"/>
        <w:rPr>
          <w:rFonts w:eastAsia="Calibri" w:cs="Arial"/>
          <w:szCs w:val="20"/>
        </w:rPr>
      </w:pPr>
    </w:p>
    <w:p w:rsidR="00C27CBC" w:rsidRDefault="00C27CBC" w:rsidP="00763290">
      <w:pPr>
        <w:tabs>
          <w:tab w:val="clear" w:pos="567"/>
          <w:tab w:val="clear" w:pos="1134"/>
          <w:tab w:val="clear" w:pos="1701"/>
          <w:tab w:val="clear" w:pos="5670"/>
          <w:tab w:val="clear" w:pos="9356"/>
        </w:tabs>
        <w:spacing w:after="0"/>
        <w:contextualSpacing/>
        <w:jc w:val="both"/>
        <w:rPr>
          <w:rFonts w:eastAsia="Calibri" w:cs="Arial"/>
          <w:szCs w:val="20"/>
        </w:rPr>
      </w:pPr>
    </w:p>
    <w:p w:rsidR="00C27CBC" w:rsidRDefault="00C27CBC" w:rsidP="00763290">
      <w:pPr>
        <w:tabs>
          <w:tab w:val="clear" w:pos="567"/>
          <w:tab w:val="clear" w:pos="1134"/>
          <w:tab w:val="clear" w:pos="1701"/>
          <w:tab w:val="clear" w:pos="5670"/>
          <w:tab w:val="clear" w:pos="9356"/>
        </w:tabs>
        <w:spacing w:after="0"/>
        <w:contextualSpacing/>
        <w:jc w:val="both"/>
        <w:rPr>
          <w:rFonts w:eastAsia="Calibri" w:cs="Arial"/>
          <w:szCs w:val="20"/>
        </w:rPr>
      </w:pPr>
    </w:p>
    <w:p w:rsidR="00C27CBC" w:rsidRDefault="00C27CBC" w:rsidP="00763290">
      <w:pPr>
        <w:tabs>
          <w:tab w:val="clear" w:pos="567"/>
          <w:tab w:val="clear" w:pos="1134"/>
          <w:tab w:val="clear" w:pos="1701"/>
          <w:tab w:val="clear" w:pos="5670"/>
          <w:tab w:val="clear" w:pos="9356"/>
        </w:tabs>
        <w:spacing w:after="0"/>
        <w:contextualSpacing/>
        <w:jc w:val="both"/>
        <w:rPr>
          <w:rFonts w:eastAsia="Calibri" w:cs="Arial"/>
          <w:szCs w:val="20"/>
        </w:rPr>
      </w:pPr>
    </w:p>
    <w:p w:rsidR="00C27CBC" w:rsidRDefault="00C27CBC" w:rsidP="00763290">
      <w:pPr>
        <w:tabs>
          <w:tab w:val="clear" w:pos="567"/>
          <w:tab w:val="clear" w:pos="1134"/>
          <w:tab w:val="clear" w:pos="1701"/>
          <w:tab w:val="clear" w:pos="5670"/>
          <w:tab w:val="clear" w:pos="9356"/>
        </w:tabs>
        <w:spacing w:after="0"/>
        <w:contextualSpacing/>
        <w:jc w:val="both"/>
        <w:rPr>
          <w:rFonts w:eastAsia="Calibri" w:cs="Arial"/>
          <w:szCs w:val="20"/>
        </w:rPr>
      </w:pPr>
    </w:p>
    <w:p w:rsidR="00C27CBC" w:rsidRDefault="00C27CBC" w:rsidP="00763290">
      <w:pPr>
        <w:tabs>
          <w:tab w:val="clear" w:pos="567"/>
          <w:tab w:val="clear" w:pos="1134"/>
          <w:tab w:val="clear" w:pos="1701"/>
          <w:tab w:val="clear" w:pos="5670"/>
          <w:tab w:val="clear" w:pos="9356"/>
        </w:tabs>
        <w:spacing w:after="0"/>
        <w:contextualSpacing/>
        <w:jc w:val="both"/>
        <w:rPr>
          <w:rFonts w:eastAsia="Calibri" w:cs="Arial"/>
          <w:szCs w:val="20"/>
        </w:rPr>
      </w:pPr>
    </w:p>
    <w:p w:rsidR="00C27CBC" w:rsidRDefault="00C27CBC" w:rsidP="00763290">
      <w:pPr>
        <w:tabs>
          <w:tab w:val="clear" w:pos="567"/>
          <w:tab w:val="clear" w:pos="1134"/>
          <w:tab w:val="clear" w:pos="1701"/>
          <w:tab w:val="clear" w:pos="5670"/>
          <w:tab w:val="clear" w:pos="9356"/>
        </w:tabs>
        <w:spacing w:after="0"/>
        <w:contextualSpacing/>
        <w:jc w:val="both"/>
        <w:rPr>
          <w:rFonts w:eastAsia="Calibri" w:cs="Arial"/>
          <w:szCs w:val="20"/>
        </w:rPr>
      </w:pPr>
    </w:p>
    <w:p w:rsidR="00C27CBC" w:rsidRDefault="00C27CBC" w:rsidP="00763290">
      <w:pPr>
        <w:tabs>
          <w:tab w:val="clear" w:pos="567"/>
          <w:tab w:val="clear" w:pos="1134"/>
          <w:tab w:val="clear" w:pos="1701"/>
          <w:tab w:val="clear" w:pos="5670"/>
          <w:tab w:val="clear" w:pos="9356"/>
        </w:tabs>
        <w:spacing w:after="0"/>
        <w:contextualSpacing/>
        <w:jc w:val="both"/>
        <w:rPr>
          <w:rFonts w:eastAsia="Calibri" w:cs="Arial"/>
          <w:szCs w:val="20"/>
        </w:rPr>
      </w:pPr>
    </w:p>
    <w:p w:rsidR="00C27CBC" w:rsidRDefault="00C27CBC" w:rsidP="00763290">
      <w:pPr>
        <w:tabs>
          <w:tab w:val="clear" w:pos="567"/>
          <w:tab w:val="clear" w:pos="1134"/>
          <w:tab w:val="clear" w:pos="1701"/>
          <w:tab w:val="clear" w:pos="5670"/>
          <w:tab w:val="clear" w:pos="9356"/>
        </w:tabs>
        <w:spacing w:after="0"/>
        <w:contextualSpacing/>
        <w:jc w:val="both"/>
        <w:rPr>
          <w:rFonts w:eastAsia="Calibri" w:cs="Arial"/>
          <w:szCs w:val="20"/>
        </w:rPr>
      </w:pPr>
    </w:p>
    <w:p w:rsidR="00C27CBC" w:rsidRDefault="00C27CBC" w:rsidP="00763290">
      <w:pPr>
        <w:tabs>
          <w:tab w:val="clear" w:pos="567"/>
          <w:tab w:val="clear" w:pos="1134"/>
          <w:tab w:val="clear" w:pos="1701"/>
          <w:tab w:val="clear" w:pos="5670"/>
          <w:tab w:val="clear" w:pos="9356"/>
        </w:tabs>
        <w:spacing w:after="0"/>
        <w:contextualSpacing/>
        <w:jc w:val="both"/>
        <w:rPr>
          <w:rFonts w:eastAsia="Calibri" w:cs="Arial"/>
          <w:szCs w:val="20"/>
        </w:rPr>
      </w:pPr>
    </w:p>
    <w:p w:rsidR="00C27CBC" w:rsidRDefault="00C27CBC" w:rsidP="00763290">
      <w:pPr>
        <w:tabs>
          <w:tab w:val="clear" w:pos="567"/>
          <w:tab w:val="clear" w:pos="1134"/>
          <w:tab w:val="clear" w:pos="1701"/>
          <w:tab w:val="clear" w:pos="5670"/>
          <w:tab w:val="clear" w:pos="9356"/>
        </w:tabs>
        <w:spacing w:after="0"/>
        <w:contextualSpacing/>
        <w:jc w:val="both"/>
        <w:rPr>
          <w:rFonts w:eastAsia="Calibri" w:cs="Arial"/>
          <w:szCs w:val="20"/>
        </w:rPr>
      </w:pPr>
    </w:p>
    <w:p w:rsidR="00C27CBC" w:rsidRDefault="00C27CBC" w:rsidP="00763290">
      <w:pPr>
        <w:tabs>
          <w:tab w:val="clear" w:pos="567"/>
          <w:tab w:val="clear" w:pos="1134"/>
          <w:tab w:val="clear" w:pos="1701"/>
          <w:tab w:val="clear" w:pos="5670"/>
          <w:tab w:val="clear" w:pos="9356"/>
        </w:tabs>
        <w:spacing w:after="0"/>
        <w:contextualSpacing/>
        <w:jc w:val="both"/>
        <w:rPr>
          <w:rFonts w:eastAsia="Calibri" w:cs="Arial"/>
          <w:szCs w:val="20"/>
        </w:rPr>
      </w:pPr>
    </w:p>
    <w:p w:rsidR="00C27CBC" w:rsidRDefault="00C27CBC" w:rsidP="00763290">
      <w:pPr>
        <w:tabs>
          <w:tab w:val="clear" w:pos="567"/>
          <w:tab w:val="clear" w:pos="1134"/>
          <w:tab w:val="clear" w:pos="1701"/>
          <w:tab w:val="clear" w:pos="5670"/>
          <w:tab w:val="clear" w:pos="9356"/>
        </w:tabs>
        <w:spacing w:after="0"/>
        <w:contextualSpacing/>
        <w:jc w:val="both"/>
        <w:rPr>
          <w:rFonts w:eastAsia="Calibri" w:cs="Arial"/>
          <w:szCs w:val="20"/>
        </w:rPr>
      </w:pPr>
    </w:p>
    <w:p w:rsidR="00C27CBC" w:rsidRDefault="00C27CBC" w:rsidP="00763290">
      <w:pPr>
        <w:tabs>
          <w:tab w:val="clear" w:pos="567"/>
          <w:tab w:val="clear" w:pos="1134"/>
          <w:tab w:val="clear" w:pos="1701"/>
          <w:tab w:val="clear" w:pos="5670"/>
          <w:tab w:val="clear" w:pos="9356"/>
        </w:tabs>
        <w:spacing w:after="0"/>
        <w:contextualSpacing/>
        <w:jc w:val="both"/>
        <w:rPr>
          <w:rFonts w:eastAsia="Calibri" w:cs="Arial"/>
          <w:szCs w:val="20"/>
        </w:rPr>
      </w:pPr>
    </w:p>
    <w:p w:rsidR="00C27CBC" w:rsidRDefault="00C27CBC" w:rsidP="00763290">
      <w:pPr>
        <w:tabs>
          <w:tab w:val="clear" w:pos="567"/>
          <w:tab w:val="clear" w:pos="1134"/>
          <w:tab w:val="clear" w:pos="1701"/>
          <w:tab w:val="clear" w:pos="5670"/>
          <w:tab w:val="clear" w:pos="9356"/>
        </w:tabs>
        <w:spacing w:after="0"/>
        <w:contextualSpacing/>
        <w:jc w:val="both"/>
        <w:rPr>
          <w:rFonts w:eastAsia="Calibri" w:cs="Arial"/>
          <w:szCs w:val="20"/>
        </w:rPr>
      </w:pPr>
    </w:p>
    <w:p w:rsidR="00C27CBC" w:rsidRDefault="00C27CBC" w:rsidP="00763290">
      <w:pPr>
        <w:tabs>
          <w:tab w:val="clear" w:pos="567"/>
          <w:tab w:val="clear" w:pos="1134"/>
          <w:tab w:val="clear" w:pos="1701"/>
          <w:tab w:val="clear" w:pos="5670"/>
          <w:tab w:val="clear" w:pos="9356"/>
        </w:tabs>
        <w:spacing w:after="0"/>
        <w:contextualSpacing/>
        <w:jc w:val="both"/>
        <w:rPr>
          <w:rFonts w:eastAsia="Calibri" w:cs="Arial"/>
          <w:szCs w:val="20"/>
        </w:rPr>
      </w:pPr>
    </w:p>
    <w:p w:rsidR="00C27CBC" w:rsidRDefault="00C27CBC" w:rsidP="00763290">
      <w:pPr>
        <w:tabs>
          <w:tab w:val="clear" w:pos="567"/>
          <w:tab w:val="clear" w:pos="1134"/>
          <w:tab w:val="clear" w:pos="1701"/>
          <w:tab w:val="clear" w:pos="5670"/>
          <w:tab w:val="clear" w:pos="9356"/>
        </w:tabs>
        <w:spacing w:after="0"/>
        <w:contextualSpacing/>
        <w:jc w:val="both"/>
        <w:rPr>
          <w:rFonts w:eastAsia="Calibri" w:cs="Arial"/>
          <w:szCs w:val="20"/>
        </w:rPr>
      </w:pPr>
    </w:p>
    <w:p w:rsidR="00C27CBC" w:rsidRDefault="00C27CBC" w:rsidP="00763290">
      <w:pPr>
        <w:tabs>
          <w:tab w:val="clear" w:pos="567"/>
          <w:tab w:val="clear" w:pos="1134"/>
          <w:tab w:val="clear" w:pos="1701"/>
          <w:tab w:val="clear" w:pos="5670"/>
          <w:tab w:val="clear" w:pos="9356"/>
        </w:tabs>
        <w:spacing w:after="0"/>
        <w:contextualSpacing/>
        <w:jc w:val="both"/>
        <w:rPr>
          <w:rFonts w:eastAsia="Calibri" w:cs="Arial"/>
          <w:szCs w:val="20"/>
        </w:rPr>
      </w:pPr>
    </w:p>
    <w:p w:rsidR="00C27CBC" w:rsidRDefault="00C27CBC" w:rsidP="00763290">
      <w:pPr>
        <w:tabs>
          <w:tab w:val="clear" w:pos="567"/>
          <w:tab w:val="clear" w:pos="1134"/>
          <w:tab w:val="clear" w:pos="1701"/>
          <w:tab w:val="clear" w:pos="5670"/>
          <w:tab w:val="clear" w:pos="9356"/>
        </w:tabs>
        <w:spacing w:after="0"/>
        <w:contextualSpacing/>
        <w:jc w:val="both"/>
        <w:rPr>
          <w:rFonts w:eastAsia="Calibri" w:cs="Arial"/>
          <w:szCs w:val="20"/>
        </w:rPr>
      </w:pPr>
    </w:p>
    <w:p w:rsidR="00C27CBC" w:rsidRDefault="00C27CBC" w:rsidP="00763290">
      <w:pPr>
        <w:tabs>
          <w:tab w:val="clear" w:pos="567"/>
          <w:tab w:val="clear" w:pos="1134"/>
          <w:tab w:val="clear" w:pos="1701"/>
          <w:tab w:val="clear" w:pos="5670"/>
          <w:tab w:val="clear" w:pos="9356"/>
        </w:tabs>
        <w:spacing w:after="0"/>
        <w:contextualSpacing/>
        <w:jc w:val="both"/>
        <w:rPr>
          <w:rFonts w:eastAsia="Calibri" w:cs="Arial"/>
          <w:szCs w:val="20"/>
        </w:rPr>
      </w:pPr>
    </w:p>
    <w:p w:rsidR="00C27CBC" w:rsidRPr="0007703F" w:rsidRDefault="00C27CBC" w:rsidP="00763290">
      <w:pPr>
        <w:tabs>
          <w:tab w:val="clear" w:pos="567"/>
          <w:tab w:val="clear" w:pos="1134"/>
          <w:tab w:val="clear" w:pos="1701"/>
          <w:tab w:val="clear" w:pos="5670"/>
          <w:tab w:val="clear" w:pos="9356"/>
        </w:tabs>
        <w:spacing w:after="0"/>
        <w:contextualSpacing/>
        <w:jc w:val="both"/>
        <w:rPr>
          <w:rFonts w:eastAsia="Calibri" w:cs="Arial"/>
          <w:szCs w:val="20"/>
        </w:rPr>
        <w:sectPr w:rsidR="00C27CBC" w:rsidRPr="0007703F" w:rsidSect="00C27CBC">
          <w:pgSz w:w="16838" w:h="11906" w:orient="landscape"/>
          <w:pgMar w:top="1440" w:right="1691" w:bottom="1440" w:left="1440" w:header="709" w:footer="709" w:gutter="0"/>
          <w:cols w:space="708"/>
          <w:docGrid w:linePitch="360"/>
        </w:sectPr>
      </w:pPr>
      <w:bookmarkStart w:id="0" w:name="_GoBack"/>
      <w:bookmarkEnd w:id="0"/>
    </w:p>
    <w:p w:rsidR="00515349" w:rsidRDefault="00515349" w:rsidP="00515349"/>
    <w:p w:rsidR="00515349" w:rsidRPr="00DC4363" w:rsidRDefault="00515349">
      <w:pPr>
        <w:rPr>
          <w:rFonts w:cs="Arial"/>
          <w:sz w:val="20"/>
          <w:szCs w:val="20"/>
        </w:rPr>
      </w:pPr>
    </w:p>
    <w:sectPr w:rsidR="00515349" w:rsidRPr="00DC4363" w:rsidSect="00521D8F">
      <w:headerReference w:type="first" r:id="rId11"/>
      <w:footerReference w:type="first" r:id="rId12"/>
      <w:footnotePr>
        <w:numRestart w:val="eachPage"/>
      </w:footnotePr>
      <w:pgSz w:w="11906" w:h="16838" w:code="9"/>
      <w:pgMar w:top="992" w:right="1134" w:bottom="1814" w:left="1418" w:header="73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C87" w:rsidRDefault="009F3C87" w:rsidP="00445493">
      <w:pPr>
        <w:spacing w:after="0"/>
      </w:pPr>
      <w:r>
        <w:separator/>
      </w:r>
    </w:p>
  </w:endnote>
  <w:endnote w:type="continuationSeparator" w:id="0">
    <w:p w:rsidR="009F3C87" w:rsidRDefault="009F3C87" w:rsidP="004454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349" w:rsidRDefault="00515349">
    <w:pPr>
      <w:pStyle w:val="Footer"/>
      <w:jc w:val="right"/>
    </w:pPr>
    <w:r>
      <w:fldChar w:fldCharType="begin"/>
    </w:r>
    <w:r>
      <w:instrText xml:space="preserve"> PAGE   \* MERGEFORMAT </w:instrText>
    </w:r>
    <w:r>
      <w:fldChar w:fldCharType="separate"/>
    </w:r>
    <w:r>
      <w:rPr>
        <w:noProof/>
      </w:rPr>
      <w:t>1</w:t>
    </w:r>
    <w:r>
      <w:rPr>
        <w:noProof/>
      </w:rPr>
      <w:fldChar w:fldCharType="end"/>
    </w:r>
  </w:p>
  <w:p w:rsidR="00515349" w:rsidRDefault="005153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C87" w:rsidRDefault="009F3C87">
    <w:pPr>
      <w:pStyle w:val="Footer"/>
    </w:pPr>
    <w:r>
      <w:t xml:space="preserve">General Enquiries Tel: +44 (0)1865 270811  </w:t>
    </w:r>
  </w:p>
  <w:p w:rsidR="009F3C87" w:rsidRDefault="009F3C87">
    <w:pPr>
      <w:pStyle w:val="Footer"/>
      <w:spacing w:before="0"/>
    </w:pPr>
    <w:r>
      <w:t>Fax: +44 (0)1865 270816 Web: www.admin.ox.ac.uk/safety/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C87" w:rsidRDefault="009F3C87" w:rsidP="00445493">
      <w:pPr>
        <w:spacing w:after="0"/>
      </w:pPr>
      <w:r>
        <w:separator/>
      </w:r>
    </w:p>
  </w:footnote>
  <w:footnote w:type="continuationSeparator" w:id="0">
    <w:p w:rsidR="009F3C87" w:rsidRDefault="009F3C87" w:rsidP="004454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C87" w:rsidRDefault="00E85A2C">
    <w:pPr>
      <w:pStyle w:val="OXTITLE"/>
    </w:pPr>
    <w:r>
      <w:rPr>
        <w:noProof/>
      </w:rPr>
      <mc:AlternateContent>
        <mc:Choice Requires="wps">
          <w:drawing>
            <wp:anchor distT="0" distB="0" distL="114300" distR="114300" simplePos="0" relativeHeight="251658240" behindDoc="0" locked="1" layoutInCell="1" allowOverlap="1" wp14:anchorId="215DA73C" wp14:editId="20E55AB4">
              <wp:simplePos x="0" y="0"/>
              <wp:positionH relativeFrom="column">
                <wp:posOffset>-720725</wp:posOffset>
              </wp:positionH>
              <wp:positionV relativeFrom="page">
                <wp:posOffset>3420745</wp:posOffset>
              </wp:positionV>
              <wp:extent cx="152400" cy="228600"/>
              <wp:effectExtent l="3175"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C87" w:rsidRDefault="009F3C87">
                          <w: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DA73C" id="_x0000_t202" coordsize="21600,21600" o:spt="202" path="m,l,21600r21600,l21600,xe">
              <v:stroke joinstyle="miter"/>
              <v:path gradientshapeok="t" o:connecttype="rect"/>
            </v:shapetype>
            <v:shape id="Text Box 1" o:spid="_x0000_s1026" type="#_x0000_t202" style="position:absolute;margin-left:-56.75pt;margin-top:269.35pt;width:1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GHUqA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" filled="f" stroked="f">
              <v:textbox inset="0,0,0,0">
                <w:txbxContent>
                  <w:p w:rsidR="009F3C87" w:rsidRDefault="009F3C87">
                    <w:r>
                      <w:t>_</w:t>
                    </w:r>
                  </w:p>
                </w:txbxContent>
              </v:textbox>
              <w10:wrap anchory="page"/>
              <w10:anchorlock/>
            </v:shape>
          </w:pict>
        </mc:Fallback>
      </mc:AlternateContent>
    </w:r>
    <w:r w:rsidR="009F3C87">
      <w:rPr>
        <w:noProof/>
      </w:rPr>
      <w:drawing>
        <wp:anchor distT="0" distB="0" distL="114300" distR="114300" simplePos="0" relativeHeight="251661312" behindDoc="0" locked="1" layoutInCell="1" allowOverlap="0" wp14:anchorId="19D55DD2" wp14:editId="297CFE22">
          <wp:simplePos x="0" y="0"/>
          <wp:positionH relativeFrom="column">
            <wp:posOffset>4788535</wp:posOffset>
          </wp:positionH>
          <wp:positionV relativeFrom="page">
            <wp:posOffset>466725</wp:posOffset>
          </wp:positionV>
          <wp:extent cx="1152525" cy="1476375"/>
          <wp:effectExtent l="19050" t="0" r="9525" b="0"/>
          <wp:wrapSquare wrapText="left"/>
          <wp:docPr id="6" name="Picture 6"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and"/>
                  <pic:cNvPicPr>
                    <a:picLocks noChangeAspect="1" noChangeArrowheads="1"/>
                  </pic:cNvPicPr>
                </pic:nvPicPr>
                <pic:blipFill>
                  <a:blip r:embed="rId1"/>
                  <a:srcRect/>
                  <a:stretch>
                    <a:fillRect/>
                  </a:stretch>
                </pic:blipFill>
                <pic:spPr bwMode="auto">
                  <a:xfrm>
                    <a:off x="0" y="0"/>
                    <a:ext cx="1152525" cy="1476375"/>
                  </a:xfrm>
                  <a:prstGeom prst="rect">
                    <a:avLst/>
                  </a:prstGeom>
                  <a:noFill/>
                  <a:ln w="9525">
                    <a:noFill/>
                    <a:miter lim="800000"/>
                    <a:headEnd/>
                    <a:tailEnd/>
                  </a:ln>
                </pic:spPr>
              </pic:pic>
            </a:graphicData>
          </a:graphic>
        </wp:anchor>
      </w:drawing>
    </w:r>
    <w:r w:rsidR="009F3C87">
      <w:t>UNIVERSITY SAFETY OFFICE</w:t>
    </w:r>
  </w:p>
  <w:p w:rsidR="009F3C87" w:rsidRDefault="004029E5">
    <w:pPr>
      <w:pStyle w:val="OXADDRESS"/>
    </w:pPr>
    <w:r>
      <w:t xml:space="preserve">10 Parks Road, Oxford </w:t>
    </w:r>
    <w:r w:rsidR="009F3C87">
      <w:rPr>
        <w:rStyle w:val="OXPOSTCODE"/>
      </w:rPr>
      <w:t>OX1 3PD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208A6"/>
    <w:multiLevelType w:val="hybridMultilevel"/>
    <w:tmpl w:val="C71E7E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71135C"/>
    <w:multiLevelType w:val="hybridMultilevel"/>
    <w:tmpl w:val="3196C3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AE75BC"/>
    <w:multiLevelType w:val="hybridMultilevel"/>
    <w:tmpl w:val="0AE40C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113749"/>
    <w:multiLevelType w:val="hybridMultilevel"/>
    <w:tmpl w:val="367C8B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1E3088"/>
    <w:multiLevelType w:val="hybridMultilevel"/>
    <w:tmpl w:val="38543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140246"/>
    <w:multiLevelType w:val="hybridMultilevel"/>
    <w:tmpl w:val="F03606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4A7"/>
    <w:rsid w:val="000554C3"/>
    <w:rsid w:val="00065E17"/>
    <w:rsid w:val="0007502A"/>
    <w:rsid w:val="000871B8"/>
    <w:rsid w:val="00090658"/>
    <w:rsid w:val="000978D4"/>
    <w:rsid w:val="000A0D8A"/>
    <w:rsid w:val="000A1A27"/>
    <w:rsid w:val="000A6F9D"/>
    <w:rsid w:val="000B7C81"/>
    <w:rsid w:val="000D60DA"/>
    <w:rsid w:val="00106751"/>
    <w:rsid w:val="00107AB8"/>
    <w:rsid w:val="00122AEC"/>
    <w:rsid w:val="001244A7"/>
    <w:rsid w:val="00134650"/>
    <w:rsid w:val="001406A5"/>
    <w:rsid w:val="001458B4"/>
    <w:rsid w:val="00155E27"/>
    <w:rsid w:val="00157EFC"/>
    <w:rsid w:val="00166606"/>
    <w:rsid w:val="00181F58"/>
    <w:rsid w:val="00184165"/>
    <w:rsid w:val="0019258C"/>
    <w:rsid w:val="001A7E46"/>
    <w:rsid w:val="001B06AD"/>
    <w:rsid w:val="001B5B66"/>
    <w:rsid w:val="001B79A2"/>
    <w:rsid w:val="001D7E4A"/>
    <w:rsid w:val="001E66A6"/>
    <w:rsid w:val="001F0CF4"/>
    <w:rsid w:val="001F3A5C"/>
    <w:rsid w:val="00233D21"/>
    <w:rsid w:val="00234E4B"/>
    <w:rsid w:val="0025732E"/>
    <w:rsid w:val="002602E0"/>
    <w:rsid w:val="00260C40"/>
    <w:rsid w:val="002A34D6"/>
    <w:rsid w:val="002B4DC0"/>
    <w:rsid w:val="00300944"/>
    <w:rsid w:val="003243E3"/>
    <w:rsid w:val="003308C7"/>
    <w:rsid w:val="00331777"/>
    <w:rsid w:val="00380A1B"/>
    <w:rsid w:val="0038192E"/>
    <w:rsid w:val="003A3642"/>
    <w:rsid w:val="003C2D84"/>
    <w:rsid w:val="003C39DC"/>
    <w:rsid w:val="003C5F30"/>
    <w:rsid w:val="003D1E89"/>
    <w:rsid w:val="003D57E0"/>
    <w:rsid w:val="003E419E"/>
    <w:rsid w:val="003E6C2E"/>
    <w:rsid w:val="004029E5"/>
    <w:rsid w:val="00404EC0"/>
    <w:rsid w:val="00413595"/>
    <w:rsid w:val="00420A65"/>
    <w:rsid w:val="00445493"/>
    <w:rsid w:val="00447368"/>
    <w:rsid w:val="00455564"/>
    <w:rsid w:val="00456F26"/>
    <w:rsid w:val="00460CBA"/>
    <w:rsid w:val="00463E7F"/>
    <w:rsid w:val="004675EB"/>
    <w:rsid w:val="0048649C"/>
    <w:rsid w:val="004C4948"/>
    <w:rsid w:val="004C4E3B"/>
    <w:rsid w:val="004C7B2F"/>
    <w:rsid w:val="004C7BD8"/>
    <w:rsid w:val="004F3249"/>
    <w:rsid w:val="005041D8"/>
    <w:rsid w:val="00515349"/>
    <w:rsid w:val="00521D8F"/>
    <w:rsid w:val="005261E3"/>
    <w:rsid w:val="0054199C"/>
    <w:rsid w:val="00555A3B"/>
    <w:rsid w:val="00582A54"/>
    <w:rsid w:val="005912E1"/>
    <w:rsid w:val="005B0479"/>
    <w:rsid w:val="005C0CAA"/>
    <w:rsid w:val="005F6DB2"/>
    <w:rsid w:val="00631ECD"/>
    <w:rsid w:val="00643C78"/>
    <w:rsid w:val="00654F50"/>
    <w:rsid w:val="00671608"/>
    <w:rsid w:val="00675660"/>
    <w:rsid w:val="00697CA2"/>
    <w:rsid w:val="006B04B1"/>
    <w:rsid w:val="006B1A1D"/>
    <w:rsid w:val="006B1DB6"/>
    <w:rsid w:val="006B48A9"/>
    <w:rsid w:val="006B5DC6"/>
    <w:rsid w:val="006F7BE5"/>
    <w:rsid w:val="007249D6"/>
    <w:rsid w:val="00763290"/>
    <w:rsid w:val="00764A32"/>
    <w:rsid w:val="00771C48"/>
    <w:rsid w:val="00790A09"/>
    <w:rsid w:val="0079487A"/>
    <w:rsid w:val="0079576D"/>
    <w:rsid w:val="007C66BE"/>
    <w:rsid w:val="007D0510"/>
    <w:rsid w:val="00812CDC"/>
    <w:rsid w:val="008300B5"/>
    <w:rsid w:val="00832A83"/>
    <w:rsid w:val="00835775"/>
    <w:rsid w:val="00843654"/>
    <w:rsid w:val="00854658"/>
    <w:rsid w:val="0086651E"/>
    <w:rsid w:val="00897E23"/>
    <w:rsid w:val="008B2B47"/>
    <w:rsid w:val="008B6A15"/>
    <w:rsid w:val="008B6FE3"/>
    <w:rsid w:val="008C159E"/>
    <w:rsid w:val="008D7692"/>
    <w:rsid w:val="008E654F"/>
    <w:rsid w:val="008F5442"/>
    <w:rsid w:val="008F66D3"/>
    <w:rsid w:val="00912BFB"/>
    <w:rsid w:val="00912C86"/>
    <w:rsid w:val="009159DA"/>
    <w:rsid w:val="00932201"/>
    <w:rsid w:val="0095566A"/>
    <w:rsid w:val="009727C5"/>
    <w:rsid w:val="00975CA7"/>
    <w:rsid w:val="00983788"/>
    <w:rsid w:val="0098713B"/>
    <w:rsid w:val="009958BE"/>
    <w:rsid w:val="009E1232"/>
    <w:rsid w:val="009F3C87"/>
    <w:rsid w:val="009F3CB1"/>
    <w:rsid w:val="00A03A13"/>
    <w:rsid w:val="00A1341A"/>
    <w:rsid w:val="00A22404"/>
    <w:rsid w:val="00A61CFA"/>
    <w:rsid w:val="00A73232"/>
    <w:rsid w:val="00AA1A6C"/>
    <w:rsid w:val="00AA7454"/>
    <w:rsid w:val="00AB4923"/>
    <w:rsid w:val="00AC01F4"/>
    <w:rsid w:val="00AC4C8E"/>
    <w:rsid w:val="00AD310E"/>
    <w:rsid w:val="00AD5F5C"/>
    <w:rsid w:val="00AF3A52"/>
    <w:rsid w:val="00B0730F"/>
    <w:rsid w:val="00B11DAA"/>
    <w:rsid w:val="00B229B7"/>
    <w:rsid w:val="00B23A8C"/>
    <w:rsid w:val="00B44863"/>
    <w:rsid w:val="00B51CFC"/>
    <w:rsid w:val="00B62CA6"/>
    <w:rsid w:val="00B7251F"/>
    <w:rsid w:val="00B866B7"/>
    <w:rsid w:val="00B96097"/>
    <w:rsid w:val="00BB1B41"/>
    <w:rsid w:val="00BB2CCA"/>
    <w:rsid w:val="00BC2BC1"/>
    <w:rsid w:val="00BE5C3E"/>
    <w:rsid w:val="00BE7870"/>
    <w:rsid w:val="00BF7BFB"/>
    <w:rsid w:val="00C16936"/>
    <w:rsid w:val="00C20268"/>
    <w:rsid w:val="00C27CBC"/>
    <w:rsid w:val="00C3061F"/>
    <w:rsid w:val="00C32AE9"/>
    <w:rsid w:val="00C35971"/>
    <w:rsid w:val="00C36143"/>
    <w:rsid w:val="00C371AF"/>
    <w:rsid w:val="00C53BED"/>
    <w:rsid w:val="00C53C68"/>
    <w:rsid w:val="00C75A1F"/>
    <w:rsid w:val="00CA6B00"/>
    <w:rsid w:val="00CA6B7D"/>
    <w:rsid w:val="00CB6BD5"/>
    <w:rsid w:val="00CC0F47"/>
    <w:rsid w:val="00CC1536"/>
    <w:rsid w:val="00CC190C"/>
    <w:rsid w:val="00CD17FE"/>
    <w:rsid w:val="00CD7501"/>
    <w:rsid w:val="00CE01A3"/>
    <w:rsid w:val="00CE0510"/>
    <w:rsid w:val="00CE3A11"/>
    <w:rsid w:val="00CF48DE"/>
    <w:rsid w:val="00D027D7"/>
    <w:rsid w:val="00D41585"/>
    <w:rsid w:val="00D83519"/>
    <w:rsid w:val="00D83933"/>
    <w:rsid w:val="00D96C3F"/>
    <w:rsid w:val="00D97779"/>
    <w:rsid w:val="00DA6482"/>
    <w:rsid w:val="00DC4363"/>
    <w:rsid w:val="00DC74EE"/>
    <w:rsid w:val="00DD3135"/>
    <w:rsid w:val="00DF5181"/>
    <w:rsid w:val="00E14CDD"/>
    <w:rsid w:val="00E21E98"/>
    <w:rsid w:val="00E44848"/>
    <w:rsid w:val="00E531FF"/>
    <w:rsid w:val="00E85A2C"/>
    <w:rsid w:val="00E85F8D"/>
    <w:rsid w:val="00EB4129"/>
    <w:rsid w:val="00EE327C"/>
    <w:rsid w:val="00F178ED"/>
    <w:rsid w:val="00F50A54"/>
    <w:rsid w:val="00F57C19"/>
    <w:rsid w:val="00F628B4"/>
    <w:rsid w:val="00F63BCC"/>
    <w:rsid w:val="00F67D63"/>
    <w:rsid w:val="00F74795"/>
    <w:rsid w:val="00F767F4"/>
    <w:rsid w:val="00F87E38"/>
    <w:rsid w:val="00FA4BB2"/>
    <w:rsid w:val="00FA696E"/>
    <w:rsid w:val="00FA7ED6"/>
    <w:rsid w:val="00FC1D8C"/>
    <w:rsid w:val="00FD1254"/>
    <w:rsid w:val="00FD2BAF"/>
    <w:rsid w:val="00FE5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1A5E60B8"/>
  <w15:docId w15:val="{B39A34C7-63F3-4177-B2C8-33259945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4A7"/>
    <w:pPr>
      <w:tabs>
        <w:tab w:val="left" w:pos="567"/>
        <w:tab w:val="left" w:pos="1134"/>
        <w:tab w:val="left" w:pos="1701"/>
        <w:tab w:val="left" w:pos="5670"/>
        <w:tab w:val="right" w:pos="9356"/>
      </w:tabs>
      <w:spacing w:after="240" w:line="240" w:lineRule="auto"/>
    </w:pPr>
    <w:rPr>
      <w:rFonts w:ascii="Arial" w:eastAsia="Times New Roman" w:hAnsi="Arial" w:cs="Times New Roman"/>
      <w:szCs w:val="24"/>
    </w:rPr>
  </w:style>
  <w:style w:type="paragraph" w:styleId="Heading1">
    <w:name w:val="heading 1"/>
    <w:basedOn w:val="Normal"/>
    <w:next w:val="Normal"/>
    <w:link w:val="Heading1Char"/>
    <w:qFormat/>
    <w:rsid w:val="001244A7"/>
    <w:pPr>
      <w:keepNext/>
      <w:spacing w:before="360" w:after="120"/>
      <w:outlineLvl w:val="0"/>
    </w:pPr>
    <w:rPr>
      <w:rFonts w:cs="Arial"/>
      <w:b/>
      <w:bCs/>
      <w:cap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44A7"/>
    <w:rPr>
      <w:rFonts w:ascii="Arial" w:eastAsia="Times New Roman" w:hAnsi="Arial" w:cs="Arial"/>
      <w:b/>
      <w:bCs/>
      <w:caps/>
      <w:kern w:val="32"/>
      <w:szCs w:val="32"/>
    </w:rPr>
  </w:style>
  <w:style w:type="paragraph" w:styleId="Footer">
    <w:name w:val="footer"/>
    <w:basedOn w:val="Normal"/>
    <w:link w:val="FooterChar"/>
    <w:rsid w:val="001244A7"/>
    <w:pPr>
      <w:tabs>
        <w:tab w:val="clear" w:pos="567"/>
        <w:tab w:val="clear" w:pos="1134"/>
      </w:tabs>
      <w:spacing w:before="240" w:after="0" w:line="210" w:lineRule="exact"/>
    </w:pPr>
    <w:rPr>
      <w:sz w:val="18"/>
      <w:szCs w:val="18"/>
    </w:rPr>
  </w:style>
  <w:style w:type="character" w:customStyle="1" w:styleId="FooterChar">
    <w:name w:val="Footer Char"/>
    <w:basedOn w:val="DefaultParagraphFont"/>
    <w:link w:val="Footer"/>
    <w:rsid w:val="001244A7"/>
    <w:rPr>
      <w:rFonts w:ascii="Arial" w:eastAsia="Times New Roman" w:hAnsi="Arial" w:cs="Times New Roman"/>
      <w:sz w:val="18"/>
      <w:szCs w:val="18"/>
    </w:rPr>
  </w:style>
  <w:style w:type="paragraph" w:customStyle="1" w:styleId="OXTITLE">
    <w:name w:val="OX TITLE"/>
    <w:rsid w:val="001244A7"/>
    <w:pPr>
      <w:tabs>
        <w:tab w:val="center" w:pos="4153"/>
        <w:tab w:val="right" w:pos="8306"/>
      </w:tabs>
      <w:spacing w:after="0" w:line="300" w:lineRule="exact"/>
    </w:pPr>
    <w:rPr>
      <w:rFonts w:ascii="Arial" w:eastAsia="Times New Roman" w:hAnsi="Arial" w:cs="Times New Roman"/>
      <w:caps/>
      <w:spacing w:val="6"/>
      <w:lang w:eastAsia="en-GB"/>
    </w:rPr>
  </w:style>
  <w:style w:type="paragraph" w:customStyle="1" w:styleId="OXADDRESS">
    <w:name w:val="OX ADDRESS"/>
    <w:rsid w:val="001244A7"/>
    <w:pPr>
      <w:tabs>
        <w:tab w:val="center" w:pos="4153"/>
        <w:tab w:val="right" w:pos="8306"/>
      </w:tabs>
      <w:spacing w:after="0" w:line="240" w:lineRule="exact"/>
    </w:pPr>
    <w:rPr>
      <w:rFonts w:ascii="Arial" w:eastAsia="Times New Roman" w:hAnsi="Arial" w:cs="Times New Roman"/>
      <w:sz w:val="18"/>
      <w:szCs w:val="18"/>
      <w:lang w:eastAsia="en-GB"/>
    </w:rPr>
  </w:style>
  <w:style w:type="character" w:customStyle="1" w:styleId="OXPOSTCODE">
    <w:name w:val="OX POSTCODE"/>
    <w:basedOn w:val="DefaultParagraphFont"/>
    <w:rsid w:val="001244A7"/>
    <w:rPr>
      <w:rFonts w:ascii="Arial" w:hAnsi="Arial"/>
      <w:sz w:val="16"/>
      <w:szCs w:val="16"/>
      <w:lang w:val="en-GB" w:eastAsia="en-GB" w:bidi="ar-SA"/>
    </w:rPr>
  </w:style>
  <w:style w:type="character" w:styleId="Hyperlink">
    <w:name w:val="Hyperlink"/>
    <w:basedOn w:val="DefaultParagraphFont"/>
    <w:uiPriority w:val="99"/>
    <w:unhideWhenUsed/>
    <w:rsid w:val="001244A7"/>
    <w:rPr>
      <w:color w:val="0000FF" w:themeColor="hyperlink"/>
      <w:u w:val="single"/>
    </w:rPr>
  </w:style>
  <w:style w:type="character" w:customStyle="1" w:styleId="WebHidden">
    <w:name w:val="WebHidden"/>
    <w:basedOn w:val="DefaultParagraphFont"/>
    <w:rsid w:val="001244A7"/>
  </w:style>
  <w:style w:type="paragraph" w:styleId="NormalWeb">
    <w:name w:val="Normal (Web)"/>
    <w:basedOn w:val="Normal"/>
    <w:uiPriority w:val="99"/>
    <w:unhideWhenUsed/>
    <w:rsid w:val="0054199C"/>
    <w:pPr>
      <w:tabs>
        <w:tab w:val="clear" w:pos="567"/>
        <w:tab w:val="clear" w:pos="1134"/>
        <w:tab w:val="clear" w:pos="1701"/>
        <w:tab w:val="clear" w:pos="5670"/>
        <w:tab w:val="clear" w:pos="9356"/>
      </w:tabs>
      <w:spacing w:before="100" w:beforeAutospacing="1" w:after="100" w:afterAutospacing="1"/>
    </w:pPr>
    <w:rPr>
      <w:rFonts w:ascii="Times New Roman" w:hAnsi="Times New Roman"/>
      <w:sz w:val="24"/>
      <w:lang w:eastAsia="en-GB"/>
    </w:rPr>
  </w:style>
  <w:style w:type="paragraph" w:styleId="ListParagraph">
    <w:name w:val="List Paragraph"/>
    <w:basedOn w:val="Normal"/>
    <w:uiPriority w:val="34"/>
    <w:qFormat/>
    <w:rsid w:val="0054199C"/>
    <w:pPr>
      <w:tabs>
        <w:tab w:val="clear" w:pos="567"/>
        <w:tab w:val="clear" w:pos="1134"/>
        <w:tab w:val="clear" w:pos="1701"/>
        <w:tab w:val="clear" w:pos="5670"/>
        <w:tab w:val="clear" w:pos="9356"/>
      </w:tabs>
      <w:spacing w:after="0"/>
      <w:ind w:left="720"/>
    </w:pPr>
    <w:rPr>
      <w:sz w:val="20"/>
      <w:lang w:eastAsia="en-GB"/>
    </w:rPr>
  </w:style>
  <w:style w:type="paragraph" w:styleId="Header">
    <w:name w:val="header"/>
    <w:basedOn w:val="Normal"/>
    <w:link w:val="HeaderChar"/>
    <w:uiPriority w:val="99"/>
    <w:unhideWhenUsed/>
    <w:rsid w:val="004029E5"/>
    <w:pPr>
      <w:tabs>
        <w:tab w:val="clear" w:pos="567"/>
        <w:tab w:val="clear" w:pos="1134"/>
        <w:tab w:val="clear" w:pos="1701"/>
        <w:tab w:val="clear" w:pos="5670"/>
        <w:tab w:val="clear" w:pos="9356"/>
        <w:tab w:val="center" w:pos="4513"/>
        <w:tab w:val="right" w:pos="9026"/>
      </w:tabs>
      <w:spacing w:after="0"/>
    </w:pPr>
  </w:style>
  <w:style w:type="character" w:customStyle="1" w:styleId="HeaderChar">
    <w:name w:val="Header Char"/>
    <w:basedOn w:val="DefaultParagraphFont"/>
    <w:link w:val="Header"/>
    <w:uiPriority w:val="99"/>
    <w:rsid w:val="004029E5"/>
    <w:rPr>
      <w:rFonts w:ascii="Arial" w:eastAsia="Times New Roman" w:hAnsi="Arial" w:cs="Times New Roman"/>
      <w:szCs w:val="24"/>
    </w:rPr>
  </w:style>
  <w:style w:type="paragraph" w:styleId="BalloonText">
    <w:name w:val="Balloon Text"/>
    <w:basedOn w:val="Normal"/>
    <w:link w:val="BalloonTextChar"/>
    <w:uiPriority w:val="99"/>
    <w:semiHidden/>
    <w:unhideWhenUsed/>
    <w:rsid w:val="00DC43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36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9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admin.ox.ac.uk/safety/memoranda/m7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admin.ox.ac.uk/safety/policy-statements/s5-0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65A17-F598-4A07-BE7B-986BAFCE2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2103</Words>
  <Characters>11990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safe0025</dc:creator>
  <cp:lastModifiedBy>Luke Weir</cp:lastModifiedBy>
  <cp:revision>7</cp:revision>
  <cp:lastPrinted>2016-12-19T16:17:00Z</cp:lastPrinted>
  <dcterms:created xsi:type="dcterms:W3CDTF">2016-12-19T15:47:00Z</dcterms:created>
  <dcterms:modified xsi:type="dcterms:W3CDTF">2023-08-22T15:12:00Z</dcterms:modified>
</cp:coreProperties>
</file>